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810BD3" w:rsidP="00810BD3" w14:paraId="7A4B2ACB" w14:textId="77777777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2019</w:t>
      </w:r>
      <w:r>
        <w:rPr>
          <w:rFonts w:ascii="Times New Roman" w:eastAsia="新宋体" w:hAnsi="Times New Roman" w:hint="eastAsia"/>
          <w:b/>
          <w:sz w:val="30"/>
          <w:szCs w:val="30"/>
        </w:rPr>
        <w:t>年全国统一高考生物试卷（新课标Ⅰ）</w:t>
      </w:r>
    </w:p>
    <w:p w:rsidR="00810BD3" w:rsidP="00810BD3" w14:paraId="30B5A58F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一、选择题：本题共</w:t>
      </w:r>
      <w:r>
        <w:rPr>
          <w:rFonts w:ascii="Times New Roman" w:eastAsia="新宋体" w:hAnsi="Times New Roman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36</w:t>
      </w:r>
      <w:r>
        <w:rPr>
          <w:rFonts w:ascii="Times New Roman" w:eastAsia="新宋体" w:hAnsi="Times New Roman" w:hint="eastAsia"/>
          <w:b/>
          <w:szCs w:val="21"/>
        </w:rPr>
        <w:t>分。在每小题给出的四个选项中，只有一项是符合题目要求的。</w:t>
      </w:r>
    </w:p>
    <w:p w:rsidR="00810BD3" w:rsidP="00810BD3" w14:paraId="439D238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分）细胞凋亡是细胞死亡的一种类型。下列关于人体中细胞凋亡的叙述，正确的是（　　）</w:t>
      </w:r>
    </w:p>
    <w:p w:rsidR="00810BD3" w:rsidP="00810BD3" w14:paraId="7E6813C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．胎儿手的发育过程中不会发生细胞凋亡</w:t>
      </w:r>
      <w:r>
        <w:tab/>
      </w:r>
    </w:p>
    <w:p w:rsidR="00810BD3" w:rsidP="00810BD3" w14:paraId="79CBCC86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．小肠上皮细胞的自然更新过程中存在细胞凋亡现象</w:t>
      </w:r>
      <w:r>
        <w:tab/>
      </w:r>
    </w:p>
    <w:p w:rsidR="00810BD3" w:rsidP="00810BD3" w14:paraId="1A722E0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．清除被病原体感染细胞的过程中不存在细胞凋亡现象</w:t>
      </w:r>
      <w:r>
        <w:tab/>
      </w:r>
    </w:p>
    <w:p w:rsidR="00810BD3" w:rsidP="00810BD3" w14:paraId="295CE4C4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．细胞凋亡是基因决定的细胞死亡过程，属于细胞坏死</w:t>
      </w:r>
    </w:p>
    <w:p w:rsidR="00810BD3" w:rsidP="00810BD3" w14:paraId="6BC0F05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分）用体外实验的方法可合成多肽链。已知苯丙氨酸的密码子是</w:t>
      </w:r>
      <w:r>
        <w:rPr>
          <w:rFonts w:ascii="Times New Roman" w:eastAsia="新宋体" w:hAnsi="Times New Roman"/>
          <w:szCs w:val="21"/>
        </w:rPr>
        <w:t>UUU</w:t>
      </w:r>
      <w:r>
        <w:rPr>
          <w:rFonts w:ascii="Times New Roman" w:eastAsia="新宋体" w:hAnsi="Times New Roman" w:hint="eastAsia"/>
          <w:szCs w:val="21"/>
        </w:rPr>
        <w:t>，若要在体外合成同位素标记的多肽链，所需的材料组合是（　　）</w:t>
      </w:r>
    </w:p>
    <w:p w:rsidR="00810BD3" w:rsidP="00810BD3" w14:paraId="63D14233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同位素标记的</w:t>
      </w:r>
      <w:r>
        <w:rPr>
          <w:rFonts w:ascii="Times New Roman" w:eastAsia="新宋体" w:hAnsi="Times New Roman"/>
          <w:szCs w:val="21"/>
        </w:rPr>
        <w:t>tRNA</w:t>
      </w:r>
    </w:p>
    <w:p w:rsidR="00810BD3" w:rsidP="00810BD3" w14:paraId="6DE57D76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蛋白质合成所需的酶</w:t>
      </w:r>
    </w:p>
    <w:p w:rsidR="00810BD3" w:rsidP="00810BD3" w14:paraId="180AF707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同位素标记的苯丙氨酸</w:t>
      </w:r>
    </w:p>
    <w:p w:rsidR="00810BD3" w:rsidP="00810BD3" w14:paraId="77B39564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人工合成的多聚尿嘧啶核苷酸</w:t>
      </w:r>
    </w:p>
    <w:p w:rsidR="00810BD3" w:rsidP="00810BD3" w14:paraId="3F7712F7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除去了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mRNA</w:t>
      </w:r>
      <w:r>
        <w:rPr>
          <w:rFonts w:ascii="Times New Roman" w:eastAsia="新宋体" w:hAnsi="Times New Roman" w:hint="eastAsia"/>
          <w:szCs w:val="21"/>
        </w:rPr>
        <w:t>的细胞裂解液</w:t>
      </w:r>
    </w:p>
    <w:p w:rsidR="00810BD3" w:rsidP="00810BD3" w14:paraId="561F6E76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eastAsia="Cambria Math" w:hAnsi="Cambria Math"/>
          <w:szCs w:val="21"/>
        </w:rPr>
        <w:t>①②④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eastAsia="Cambria Math" w:hAnsi="Cambria Math"/>
          <w:szCs w:val="21"/>
        </w:rPr>
        <w:t>②③④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eastAsia="Cambria Math" w:hAnsi="Cambria Math"/>
          <w:szCs w:val="21"/>
        </w:rPr>
        <w:t>③④⑤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eastAsia="Cambria Math" w:hAnsi="Cambria Math"/>
          <w:szCs w:val="21"/>
        </w:rPr>
        <w:t>①③⑤</w:t>
      </w:r>
    </w:p>
    <w:p w:rsidR="00810BD3" w:rsidP="00810BD3" w14:paraId="0EDD91D1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分）将一株质量为</w:t>
      </w:r>
      <w:r>
        <w:rPr>
          <w:rFonts w:ascii="Times New Roman" w:eastAsia="新宋体" w:hAnsi="Times New Roman"/>
          <w:szCs w:val="21"/>
        </w:rPr>
        <w:t>20g</w:t>
      </w:r>
      <w:r>
        <w:rPr>
          <w:rFonts w:ascii="Times New Roman" w:eastAsia="新宋体" w:hAnsi="Times New Roman" w:hint="eastAsia"/>
          <w:szCs w:val="21"/>
        </w:rPr>
        <w:t>的黄瓜幼苗栽种在光照等适宜的环境中，一段时间后植株达到</w:t>
      </w:r>
      <w:r>
        <w:rPr>
          <w:rFonts w:ascii="Times New Roman" w:eastAsia="新宋体" w:hAnsi="Times New Roman"/>
          <w:szCs w:val="21"/>
        </w:rPr>
        <w:t>40g</w:t>
      </w:r>
      <w:r>
        <w:rPr>
          <w:rFonts w:ascii="Times New Roman" w:eastAsia="新宋体" w:hAnsi="Times New Roman" w:hint="eastAsia"/>
          <w:szCs w:val="21"/>
        </w:rPr>
        <w:t>，其增加的质量来自于（　　）</w:t>
      </w:r>
    </w:p>
    <w:p w:rsidR="00810BD3" w:rsidP="00810BD3" w14:paraId="652FB672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．水、矿质元素和空气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．光、矿质元素和水</w:t>
      </w:r>
      <w:r>
        <w:tab/>
      </w:r>
    </w:p>
    <w:p w:rsidR="00810BD3" w:rsidP="00810BD3" w14:paraId="7277241A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．水、矿质元素和土壤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．光、矿质元素和空气</w:t>
      </w:r>
    </w:p>
    <w:p w:rsidR="00810BD3" w:rsidP="00810BD3" w14:paraId="5FB100D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分）动物受到惊吓刺激时，兴奋经过反射弧中的传出神经作用于肾上腺髓质，使其分泌肾上腺素；兴奋还通过传出神经作用于心脏。下列相关叙述错误的是（　　）</w:t>
      </w:r>
    </w:p>
    <w:p w:rsidR="00810BD3" w:rsidP="00810BD3" w14:paraId="247A1AA3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．兴奋是以电信号的形式在神经纤维上传导的</w:t>
      </w:r>
      <w:r>
        <w:tab/>
      </w:r>
    </w:p>
    <w:p w:rsidR="00810BD3" w:rsidP="00810BD3" w14:paraId="7B5CB39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．惊吓刺激可以作用于视觉、听觉或触觉感受器</w:t>
      </w:r>
      <w:r>
        <w:tab/>
      </w:r>
    </w:p>
    <w:p w:rsidR="00810BD3" w:rsidP="00810BD3" w14:paraId="2E624933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．神经系统可直接调节、也可通过内分泌活动间接调节心脏活动</w:t>
      </w:r>
      <w:r>
        <w:tab/>
      </w:r>
    </w:p>
    <w:p w:rsidR="00810BD3" w:rsidP="00810BD3" w14:paraId="0B9EFCE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．肾上腺素分泌增加会使动物警觉性提高、呼吸频率减慢、心率减慢</w:t>
      </w:r>
    </w:p>
    <w:p w:rsidR="00810BD3" w:rsidP="00810BD3" w14:paraId="6D59C9F1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分）某种二倍体高等植物的性别决定类型为</w:t>
      </w:r>
      <w:r>
        <w:rPr>
          <w:rFonts w:ascii="Times New Roman" w:eastAsia="新宋体" w:hAnsi="Times New Roman"/>
          <w:szCs w:val="21"/>
        </w:rPr>
        <w:t>XY</w:t>
      </w:r>
      <w:r>
        <w:rPr>
          <w:rFonts w:ascii="Times New Roman" w:eastAsia="新宋体" w:hAnsi="Times New Roman" w:hint="eastAsia"/>
          <w:szCs w:val="21"/>
        </w:rPr>
        <w:t>型。该植物有宽叶和窄叶两种叶形，宽叶对窄叶为显性。控制这对相对性状的基因（</w:t>
      </w:r>
      <w:r>
        <w:rPr>
          <w:rFonts w:ascii="Times New Roman" w:eastAsia="新宋体" w:hAnsi="Times New Roman"/>
          <w:szCs w:val="21"/>
        </w:rPr>
        <w:t>B/b</w:t>
      </w:r>
      <w:r>
        <w:rPr>
          <w:rFonts w:ascii="Times New Roman" w:eastAsia="新宋体" w:hAnsi="Times New Roman" w:hint="eastAsia"/>
          <w:szCs w:val="21"/>
        </w:rPr>
        <w:t>）位于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染色体上，含有基因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的花粉不育。下列叙述错误的是（　　）</w:t>
      </w:r>
    </w:p>
    <w:p w:rsidR="00810BD3" w:rsidP="00810BD3" w14:paraId="28A5051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．窄叶性状只能出现在雄株中，不可能出现在雌株中</w:t>
      </w:r>
      <w:r>
        <w:tab/>
      </w:r>
    </w:p>
    <w:p w:rsidR="00810BD3" w:rsidP="00810BD3" w14:paraId="5DC0CB1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．宽叶雌株与宽叶雄株杂交，子代中可能出现窄叶雄株</w:t>
      </w:r>
      <w:r>
        <w:tab/>
      </w:r>
    </w:p>
    <w:p w:rsidR="00810BD3" w:rsidP="00810BD3" w14:paraId="483B6694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．宽叶雌株与窄叶雄株杂交，子代中既有雌株又有雄株</w:t>
      </w:r>
      <w:r>
        <w:tab/>
      </w:r>
    </w:p>
    <w:p w:rsidR="00810BD3" w:rsidP="00810BD3" w14:paraId="29DB0AF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．若亲本杂交后子代雄株均为宽叶，则亲本雌株是纯合子</w:t>
      </w:r>
    </w:p>
    <w:p w:rsidR="00810BD3" w:rsidP="00810BD3" w14:paraId="53407F5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分）某实验小组用细菌甲（异养生物）作为材料来探究不同条件下种群增长的特点，设计了三个实验组，每组接种相同数量的细菌甲后进行培养，培养过程中定时更新培养基，三组的更新时间间隔分别为</w:t>
      </w:r>
      <w:r>
        <w:rPr>
          <w:rFonts w:ascii="Times New Roman" w:eastAsia="新宋体" w:hAnsi="Times New Roman"/>
          <w:szCs w:val="21"/>
        </w:rPr>
        <w:t>3h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10h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23h</w:t>
      </w:r>
      <w:r>
        <w:rPr>
          <w:rFonts w:ascii="Times New Roman" w:eastAsia="新宋体" w:hAnsi="Times New Roman" w:hint="eastAsia"/>
          <w:szCs w:val="21"/>
        </w:rPr>
        <w:t>，得到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三条种群增长曲线，如图所示。下列叙述错误的是（　　）</w:t>
      </w:r>
    </w:p>
    <w:p w:rsidR="00810BD3" w:rsidP="00810BD3" w14:paraId="6C623619" w14:textId="2C815EE8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628775" cy="1543050"/>
            <wp:effectExtent l="0" t="0" r="9525" b="0"/>
            <wp:docPr id="2" name="图片 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D3" w:rsidP="00810BD3" w14:paraId="0EC242D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．细菌甲能够将培养基中的有机物分解成无机物</w:t>
      </w:r>
      <w:r>
        <w:tab/>
      </w:r>
    </w:p>
    <w:p w:rsidR="00810BD3" w:rsidP="00810BD3" w14:paraId="4D8AD8F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．培养基更换频率的不同，可用来表示环境资源量的不同</w:t>
      </w:r>
      <w:r>
        <w:tab/>
      </w:r>
    </w:p>
    <w:p w:rsidR="00810BD3" w:rsidP="00810BD3" w14:paraId="62B36C8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．在培养到</w:t>
      </w:r>
      <w:r>
        <w:rPr>
          <w:rFonts w:ascii="Times New Roman" w:eastAsia="新宋体" w:hAnsi="Times New Roman"/>
          <w:szCs w:val="21"/>
        </w:rPr>
        <w:t>23h</w:t>
      </w:r>
      <w:r>
        <w:rPr>
          <w:rFonts w:ascii="Times New Roman" w:eastAsia="新宋体" w:hAnsi="Times New Roman" w:hint="eastAsia"/>
          <w:szCs w:val="21"/>
        </w:rPr>
        <w:t>之前，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组培养基中的营养和空间条件都是充裕的</w:t>
      </w:r>
      <w:r>
        <w:tab/>
      </w:r>
    </w:p>
    <w:p w:rsidR="00810BD3" w:rsidP="00810BD3" w14:paraId="1857523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．培养基更新时间间隔为</w:t>
      </w:r>
      <w:r>
        <w:rPr>
          <w:rFonts w:ascii="Times New Roman" w:eastAsia="新宋体" w:hAnsi="Times New Roman"/>
          <w:szCs w:val="21"/>
        </w:rPr>
        <w:t>23h</w:t>
      </w:r>
      <w:r>
        <w:rPr>
          <w:rFonts w:ascii="Times New Roman" w:eastAsia="新宋体" w:hAnsi="Times New Roman" w:hint="eastAsia"/>
          <w:szCs w:val="21"/>
        </w:rPr>
        <w:t>时，种群增长不会出现</w:t>
      </w:r>
      <w:r>
        <w:rPr>
          <w:rFonts w:ascii="Times New Roman" w:eastAsia="新宋体" w:hAnsi="Times New Roman"/>
          <w:szCs w:val="21"/>
        </w:rPr>
        <w:t>J</w:t>
      </w:r>
      <w:r>
        <w:rPr>
          <w:rFonts w:ascii="Times New Roman" w:eastAsia="新宋体" w:hAnsi="Times New Roman" w:hint="eastAsia"/>
          <w:szCs w:val="21"/>
        </w:rPr>
        <w:t>型增长阶段</w:t>
      </w:r>
    </w:p>
    <w:p w:rsidR="00810BD3" w:rsidP="00810BD3" w14:paraId="68FA7D72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二、非选择题：共</w:t>
      </w:r>
      <w:r>
        <w:rPr>
          <w:rFonts w:ascii="Times New Roman" w:eastAsia="新宋体" w:hAnsi="Times New Roman"/>
          <w:b/>
          <w:szCs w:val="21"/>
        </w:rPr>
        <w:t>54</w:t>
      </w:r>
      <w:r>
        <w:rPr>
          <w:rFonts w:ascii="Times New Roman" w:eastAsia="新宋体" w:hAnsi="Times New Roman" w:hint="eastAsia"/>
          <w:b/>
          <w:szCs w:val="21"/>
        </w:rPr>
        <w:t>分。第</w:t>
      </w:r>
      <w:r>
        <w:rPr>
          <w:rFonts w:ascii="Times New Roman" w:eastAsia="新宋体" w:hAnsi="Times New Roman"/>
          <w:b/>
          <w:szCs w:val="21"/>
        </w:rPr>
        <w:t>7~10</w:t>
      </w:r>
      <w:r>
        <w:rPr>
          <w:rFonts w:ascii="Times New Roman" w:eastAsia="新宋体" w:hAnsi="Times New Roman" w:hint="eastAsia"/>
          <w:b/>
          <w:szCs w:val="21"/>
        </w:rPr>
        <w:t>题为必考题，每个试题考生都必须作答。第</w:t>
      </w:r>
      <w:r>
        <w:rPr>
          <w:rFonts w:ascii="Times New Roman" w:eastAsia="新宋体" w:hAnsi="Times New Roman"/>
          <w:b/>
          <w:szCs w:val="21"/>
        </w:rPr>
        <w:t>11~12</w:t>
      </w:r>
      <w:r>
        <w:rPr>
          <w:rFonts w:ascii="Times New Roman" w:eastAsia="新宋体" w:hAnsi="Times New Roman" w:hint="eastAsia"/>
          <w:b/>
          <w:szCs w:val="21"/>
        </w:rPr>
        <w:t>题为选考题，考生根据要求作答。（一）必考题：共</w:t>
      </w:r>
      <w:r>
        <w:rPr>
          <w:rFonts w:ascii="Times New Roman" w:eastAsia="新宋体" w:hAnsi="Times New Roman"/>
          <w:b/>
          <w:szCs w:val="21"/>
        </w:rPr>
        <w:t>39</w:t>
      </w:r>
      <w:r>
        <w:rPr>
          <w:rFonts w:ascii="Times New Roman" w:eastAsia="新宋体" w:hAnsi="Times New Roman" w:hint="eastAsia"/>
          <w:b/>
          <w:szCs w:val="21"/>
        </w:rPr>
        <w:t>分。</w:t>
      </w:r>
    </w:p>
    <w:p w:rsidR="00810BD3" w:rsidP="00810BD3" w14:paraId="6CAB5A59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分）将生长在水分正常土壤中的某植物通过减少浇水进行干旱处理，该植物根细胞中溶质浓度增大，叶片中的脱落酸（</w:t>
      </w:r>
      <w:r>
        <w:rPr>
          <w:rFonts w:ascii="Times New Roman" w:eastAsia="新宋体" w:hAnsi="Times New Roman"/>
          <w:szCs w:val="21"/>
        </w:rPr>
        <w:t>ABA</w:t>
      </w:r>
      <w:r>
        <w:rPr>
          <w:rFonts w:ascii="Times New Roman" w:eastAsia="新宋体" w:hAnsi="Times New Roman" w:hint="eastAsia"/>
          <w:szCs w:val="21"/>
        </w:rPr>
        <w:t>）含量增高，叶片气孔开度减小。回答下列问题。</w:t>
      </w:r>
    </w:p>
    <w:p w:rsidR="00810BD3" w:rsidP="00810BD3" w14:paraId="04B603A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）经干旱处理后，该植物根细胞的吸水能力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55B769F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）与干旱处理前相比，干旱处理后该植物的光合速率会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，出现这种变化的主要原因是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786A424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）有研究表明：干旱条件下气孔开度减小不是由缺水直接引起的，而是由</w:t>
      </w:r>
      <w:r>
        <w:rPr>
          <w:rFonts w:ascii="Times New Roman" w:eastAsia="新宋体" w:hAnsi="Times New Roman"/>
          <w:szCs w:val="21"/>
        </w:rPr>
        <w:t>ABA</w:t>
      </w:r>
      <w:r>
        <w:rPr>
          <w:rFonts w:ascii="Times New Roman" w:eastAsia="新宋体" w:hAnsi="Times New Roman" w:hint="eastAsia"/>
          <w:szCs w:val="21"/>
        </w:rPr>
        <w:t>引起的。请以该种植物的</w:t>
      </w:r>
      <w:r>
        <w:rPr>
          <w:rFonts w:ascii="Times New Roman" w:eastAsia="新宋体" w:hAnsi="Times New Roman"/>
          <w:szCs w:val="21"/>
        </w:rPr>
        <w:t>ABA</w:t>
      </w:r>
      <w:r>
        <w:rPr>
          <w:rFonts w:ascii="Times New Roman" w:eastAsia="新宋体" w:hAnsi="Times New Roman" w:hint="eastAsia"/>
          <w:szCs w:val="21"/>
        </w:rPr>
        <w:t>缺失突变体（不能合成</w:t>
      </w:r>
      <w:r>
        <w:rPr>
          <w:rFonts w:ascii="Times New Roman" w:eastAsia="新宋体" w:hAnsi="Times New Roman"/>
          <w:szCs w:val="21"/>
        </w:rPr>
        <w:t>ABA</w:t>
      </w:r>
      <w:r>
        <w:rPr>
          <w:rFonts w:ascii="Times New Roman" w:eastAsia="新宋体" w:hAnsi="Times New Roman" w:hint="eastAsia"/>
          <w:szCs w:val="21"/>
        </w:rPr>
        <w:t>）植株为材料，设计实验来验证这一结论。要求简要写出实验思路和预期结果。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1F7DE4E1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分）人的排尿是一种反射活动。回答下列问题。</w:t>
      </w:r>
    </w:p>
    <w:p w:rsidR="00810BD3" w:rsidP="00810BD3" w14:paraId="3BC2570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）膀胱中的感受器受到刺激后会产生兴奋。兴奋从一个神经元到另一个神经元的传递是单向的，其原因是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2992098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）排尿过程的调节属于神经调节，神经调节的基本方式是反射。排尿反射的初级中枢位于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。成年人可以有意识地控制排尿，说明排尿反射也受高级中枢控制，该高级中枢位于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6284534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）排尿过程中，尿液还会刺激尿道上的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，从而加强排尿中枢的活动，促进排尿。</w:t>
      </w:r>
    </w:p>
    <w:p w:rsidR="00810BD3" w:rsidP="00810BD3" w14:paraId="097C102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分）某果园中存在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两种果树害虫，果园中的鸟（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）可以捕食这两种害虫；使用人工合成的性引诱剂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诱杀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可减轻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的危害。回答下列问题。</w:t>
      </w:r>
    </w:p>
    <w:p w:rsidR="00810BD3" w:rsidP="00810BD3" w14:paraId="778492F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）果园中包含害虫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的一条食物链是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。该食物链的第三营养级是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3405FB2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之间存在种间竞争关系，种间竞争通常是指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648195B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）性引诱剂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传递给害虫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的信息属于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。使用性引诱剂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可以诱杀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的雄性个体，从而破坏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种群的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，导致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降低，从而减轻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的危害。</w:t>
      </w:r>
    </w:p>
    <w:p w:rsidR="00810BD3" w:rsidP="00810BD3" w14:paraId="5A5A237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分）某实验室保存有野生型和一些突变型果蝇。果蝇的部分隐性突变基因及其在染色体上的位置如图所示。回答下列问题。</w:t>
      </w:r>
    </w:p>
    <w:p w:rsidR="00810BD3" w:rsidP="00810BD3" w14:paraId="4F0F61B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）同学甲用翅外展粗糙眼果蝇与野生型（正常翅正常眼）纯合子果蝇进行杂交，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中翅外展正常眼个体出现的概率为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。图中所列基因中，不能与翅外展基因进行自由组合的是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1C24D9B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）同学乙用焦刚毛白眼雄蝇与野生型（直刚毛红眼）纯合子雌蝇进行杂交（正交），则子代雄蝇中焦刚毛个体出现的概率为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；若进行反交，子代中白眼个体出现的概率为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4CC0FD5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）为了验证遗传规律，同学丙让白眼黑檀体雄果蝇与野生型（红眼灰体）纯合子雌果蝇进行杂交得到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相互交配得到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．那么，在所得实验结果中，能够验证自由组合定律的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表现型是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表现型及其分离比是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；验证伴性遗传时应分析的相对性状是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，能够验证伴性遗传的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表现型及其分离比是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22C41E31" w14:textId="5353E149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2390775" cy="18764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D3" w:rsidP="00810BD3" w14:paraId="58C715FD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（二）选考题：共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分。请考生从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道生物题中任选一题作答。如果多做，则按所做的第一题计分。</w:t>
      </w:r>
      <w:r>
        <w:rPr>
          <w:rFonts w:ascii="Times New Roman" w:eastAsia="新宋体" w:hAnsi="Times New Roman"/>
          <w:b/>
          <w:szCs w:val="21"/>
        </w:rPr>
        <w:t>[</w:t>
      </w:r>
      <w:r>
        <w:rPr>
          <w:rFonts w:ascii="Times New Roman" w:eastAsia="新宋体" w:hAnsi="Times New Roman" w:hint="eastAsia"/>
          <w:b/>
          <w:szCs w:val="21"/>
        </w:rPr>
        <w:t>生物——选修</w:t>
      </w:r>
      <w:r>
        <w:rPr>
          <w:rFonts w:ascii="Times New Roman" w:eastAsia="新宋体" w:hAnsi="Times New Roman"/>
          <w:b/>
          <w:szCs w:val="21"/>
        </w:rPr>
        <w:t>1</w:t>
      </w:r>
      <w:r>
        <w:rPr>
          <w:rFonts w:ascii="Times New Roman" w:eastAsia="新宋体" w:hAnsi="Times New Roman" w:hint="eastAsia"/>
          <w:b/>
          <w:szCs w:val="21"/>
        </w:rPr>
        <w:t>：生物技术实践</w:t>
      </w:r>
      <w:r>
        <w:rPr>
          <w:rFonts w:ascii="Times New Roman" w:eastAsia="新宋体" w:hAnsi="Times New Roman"/>
          <w:b/>
          <w:szCs w:val="21"/>
        </w:rPr>
        <w:t>]</w:t>
      </w:r>
    </w:p>
    <w:p w:rsidR="00810BD3" w:rsidP="00810BD3" w14:paraId="68A3831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分）已知一种有机物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（仅含有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两种元素）不易降解，会造成环境污染。某小组用三种培养基筛选土壤中能高效降解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的细菌（目标菌）。</w:t>
      </w:r>
    </w:p>
    <w:p w:rsidR="00810BD3" w:rsidP="00810BD3" w14:paraId="63E9170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Ⅰ号培养基：在牛肉膏蛋白胨培养基中加入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5g/L</w:t>
      </w:r>
      <w:r>
        <w:rPr>
          <w:rFonts w:ascii="Times New Roman" w:eastAsia="新宋体" w:hAnsi="Times New Roman" w:hint="eastAsia"/>
          <w:szCs w:val="21"/>
        </w:rPr>
        <w:t>）。</w:t>
      </w:r>
    </w:p>
    <w:p w:rsidR="00810BD3" w:rsidP="00810BD3" w14:paraId="0025ED5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Ⅱ号培养基：氯化钠（</w:t>
      </w:r>
      <w:r>
        <w:rPr>
          <w:rFonts w:ascii="Times New Roman" w:eastAsia="新宋体" w:hAnsi="Times New Roman"/>
          <w:szCs w:val="21"/>
        </w:rPr>
        <w:t>5g/L</w:t>
      </w:r>
      <w:r>
        <w:rPr>
          <w:rFonts w:ascii="Times New Roman" w:eastAsia="新宋体" w:hAnsi="Times New Roman" w:hint="eastAsia"/>
          <w:szCs w:val="21"/>
        </w:rPr>
        <w:t>），硝酸铵（</w:t>
      </w:r>
      <w:r>
        <w:rPr>
          <w:rFonts w:ascii="Times New Roman" w:eastAsia="新宋体" w:hAnsi="Times New Roman"/>
          <w:szCs w:val="21"/>
        </w:rPr>
        <w:t>3g/L</w:t>
      </w:r>
      <w:r>
        <w:rPr>
          <w:rFonts w:ascii="Times New Roman" w:eastAsia="新宋体" w:hAnsi="Times New Roman" w:hint="eastAsia"/>
          <w:szCs w:val="21"/>
        </w:rPr>
        <w:t>），其他无机盐（适量），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15g/L</w:t>
      </w:r>
      <w:r>
        <w:rPr>
          <w:rFonts w:ascii="Times New Roman" w:eastAsia="新宋体" w:hAnsi="Times New Roman" w:hint="eastAsia"/>
          <w:szCs w:val="21"/>
        </w:rPr>
        <w:t>）。</w:t>
      </w:r>
    </w:p>
    <w:p w:rsidR="00810BD3" w:rsidP="00810BD3" w14:paraId="4A0F157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Ⅲ号培养基：氯化钠（</w:t>
      </w:r>
      <w:r>
        <w:rPr>
          <w:rFonts w:ascii="Times New Roman" w:eastAsia="新宋体" w:hAnsi="Times New Roman"/>
          <w:szCs w:val="21"/>
        </w:rPr>
        <w:t>5g/L</w:t>
      </w:r>
      <w:r>
        <w:rPr>
          <w:rFonts w:ascii="Times New Roman" w:eastAsia="新宋体" w:hAnsi="Times New Roman" w:hint="eastAsia"/>
          <w:szCs w:val="21"/>
        </w:rPr>
        <w:t>），硝酸铵（</w:t>
      </w:r>
      <w:r>
        <w:rPr>
          <w:rFonts w:ascii="Times New Roman" w:eastAsia="新宋体" w:hAnsi="Times New Roman"/>
          <w:szCs w:val="21"/>
        </w:rPr>
        <w:t>3g/L</w:t>
      </w:r>
      <w:r>
        <w:rPr>
          <w:rFonts w:ascii="Times New Roman" w:eastAsia="新宋体" w:hAnsi="Times New Roman" w:hint="eastAsia"/>
          <w:szCs w:val="21"/>
        </w:rPr>
        <w:t>），其他无机盐（适量），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45g/L</w:t>
      </w:r>
      <w:r>
        <w:rPr>
          <w:rFonts w:ascii="Times New Roman" w:eastAsia="新宋体" w:hAnsi="Times New Roman" w:hint="eastAsia"/>
          <w:szCs w:val="21"/>
        </w:rPr>
        <w:t>）。</w:t>
      </w:r>
    </w:p>
    <w:p w:rsidR="00810BD3" w:rsidP="00810BD3" w14:paraId="3FB787E5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回答下列问题。</w:t>
      </w:r>
    </w:p>
    <w:p w:rsidR="00810BD3" w:rsidP="00810BD3" w14:paraId="7EE5223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）在Ⅰ号培养基中，为微生物提供氮源的是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。Ⅱ、Ⅲ号培养基中为微生物提供碳源的有机物是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375FC4B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）若将土壤悬浮液接种在Ⅱ号液体培养基中，培养一段时间后，不能降解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的细菌比例会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，其原因是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700AAE2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）Ⅱ号培养基加入琼脂后可以制成固体培养基，若要以该固体培养基培养目标菌并对菌落进行计数，接种时，应采用的方法是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64C893F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）假设从Ⅲ号培养基中得到了能高效降解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的细菌，且该菌能将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代谢为丙酮酸，则在有氧条件下，丙酮酸可为该菌的生长提供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7DE15DBE" w14:textId="77777777">
      <w:pPr>
        <w:spacing w:line="360" w:lineRule="auto"/>
      </w:pPr>
      <w:r>
        <w:rPr>
          <w:rFonts w:ascii="Times New Roman" w:eastAsia="新宋体" w:hAnsi="Times New Roman"/>
          <w:b/>
          <w:szCs w:val="21"/>
        </w:rPr>
        <w:t>[</w:t>
      </w:r>
      <w:r>
        <w:rPr>
          <w:rFonts w:ascii="Times New Roman" w:eastAsia="新宋体" w:hAnsi="Times New Roman" w:hint="eastAsia"/>
          <w:b/>
          <w:szCs w:val="21"/>
        </w:rPr>
        <w:t>生物——选修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：现代生物科技专题</w:t>
      </w:r>
      <w:r>
        <w:rPr>
          <w:rFonts w:ascii="Times New Roman" w:eastAsia="新宋体" w:hAnsi="Times New Roman"/>
          <w:b/>
          <w:szCs w:val="21"/>
        </w:rPr>
        <w:t>]</w:t>
      </w:r>
    </w:p>
    <w:p w:rsidR="00810BD3" w:rsidP="00810BD3" w14:paraId="49D63B4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．基因工程中可以通过</w:t>
      </w:r>
      <w:r>
        <w:rPr>
          <w:rFonts w:ascii="Times New Roman" w:eastAsia="新宋体" w:hAnsi="Times New Roman"/>
          <w:szCs w:val="21"/>
        </w:rPr>
        <w:t>PCR</w:t>
      </w:r>
      <w:r>
        <w:rPr>
          <w:rFonts w:ascii="Times New Roman" w:eastAsia="新宋体" w:hAnsi="Times New Roman" w:hint="eastAsia"/>
          <w:szCs w:val="21"/>
        </w:rPr>
        <w:t>技术扩增目的基因。回答下列问题。</w:t>
      </w:r>
    </w:p>
    <w:p w:rsidR="00810BD3" w:rsidP="00810BD3" w14:paraId="3AAC28E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）基因工程中所用的目的基因可以人工合成，也可以从基因文库中获得。基因文库包括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79AAA65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）生物体细胞内的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复制开始时，解开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双链的酶是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。在体外利用</w:t>
      </w:r>
      <w:r>
        <w:rPr>
          <w:rFonts w:ascii="Times New Roman" w:eastAsia="新宋体" w:hAnsi="Times New Roman"/>
          <w:szCs w:val="21"/>
        </w:rPr>
        <w:t>PCR</w:t>
      </w:r>
      <w:r>
        <w:rPr>
          <w:rFonts w:ascii="Times New Roman" w:eastAsia="新宋体" w:hAnsi="Times New Roman" w:hint="eastAsia"/>
          <w:szCs w:val="21"/>
        </w:rPr>
        <w:t>技术扩增目的基因时，使反应体系中的模板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解链为单链的条件是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。上述两个解链过程的共同点是破坏了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双链分子中的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810BD3" w:rsidP="00810BD3" w14:paraId="22BB87A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）目前在</w:t>
      </w:r>
      <w:r>
        <w:rPr>
          <w:rFonts w:ascii="Times New Roman" w:eastAsia="新宋体" w:hAnsi="Times New Roman"/>
          <w:szCs w:val="21"/>
        </w:rPr>
        <w:t>PCR</w:t>
      </w:r>
      <w:r>
        <w:rPr>
          <w:rFonts w:ascii="Times New Roman" w:eastAsia="新宋体" w:hAnsi="Times New Roman" w:hint="eastAsia"/>
          <w:szCs w:val="21"/>
        </w:rPr>
        <w:t>反应中使用</w:t>
      </w:r>
      <w:r>
        <w:rPr>
          <w:rFonts w:ascii="Times New Roman" w:eastAsia="新宋体" w:hAnsi="Times New Roman"/>
          <w:szCs w:val="21"/>
        </w:rPr>
        <w:t>Taq</w:t>
      </w:r>
      <w:r>
        <w:rPr>
          <w:rFonts w:ascii="Times New Roman" w:eastAsia="新宋体" w:hAnsi="Times New Roman" w:hint="eastAsia"/>
          <w:szCs w:val="21"/>
        </w:rPr>
        <w:t>酶而不使用大肠杆菌</w:t>
      </w:r>
      <w:r>
        <w:rPr>
          <w:rFonts w:ascii="Times New Roman" w:eastAsia="新宋体" w:hAnsi="Times New Roman"/>
          <w:szCs w:val="21"/>
        </w:rPr>
        <w:t>DNA</w:t>
      </w:r>
      <w:r>
        <w:rPr>
          <w:rFonts w:ascii="Times New Roman" w:eastAsia="新宋体" w:hAnsi="Times New Roman" w:hint="eastAsia"/>
          <w:szCs w:val="21"/>
        </w:rPr>
        <w:t>聚合酶的主要原因是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C34F3F" w:rsidP="00810BD3" w14:paraId="366109DB" w14:textId="0F501937">
      <w:r>
        <w:br w:type="page"/>
      </w:r>
    </w:p>
    <w:sectPr>
      <w:footerReference w:type="default" r:id="rId6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3F"/>
    <w:rsid w:val="00810BD3"/>
    <w:rsid w:val="00C34F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1E252F8-1437-415E-9BD5-EA3FC786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0BD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