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215AF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08.35pt;margin-top:428.25pt;height:113.05pt;width:216.6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53pt;margin-top:418.5pt;height:122.8pt;width:136.3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59.8pt;margin-top:678.15pt;height:8.75pt;width:4.2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18AE4BB6">
      <w:pPr>
        <w:spacing w:before="201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年全省普通高中学业水平等级考试</w:t>
      </w:r>
    </w:p>
    <w:p w14:paraId="004B11DA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地理</w:t>
      </w:r>
    </w:p>
    <w:p w14:paraId="063D083C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647F8452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．答卷前，考生务必将自己的姓名、考生号等填写在答题卡和试卷指定位置。</w:t>
      </w:r>
    </w:p>
    <w:p w14:paraId="09DB47D4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．回答选择题时，选出每小题答案后、用铅笔把答题卡上对应题目的答案标号涂黑。如需改</w:t>
      </w:r>
    </w:p>
    <w:p w14:paraId="4388508C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动、用橡皮擦干净后，再选涂其他答案标号，回答非选择题时，将答案写在答题卡上。写在</w:t>
      </w:r>
    </w:p>
    <w:p w14:paraId="1F94580D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本试卷上无效。</w:t>
      </w:r>
    </w:p>
    <w:p w14:paraId="78FA9A16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．考试结束后，将本试卷和答题卡一并交回。</w:t>
      </w:r>
    </w:p>
    <w:p w14:paraId="1C639479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7D4F4B4C">
      <w:pPr>
        <w:spacing w:before="160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美国大盐湖（图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楷体" w:hAnsi="楷体" w:cs="楷体"/>
          <w:color w:val="000000"/>
          <w:spacing w:val="0"/>
          <w:sz w:val="21"/>
        </w:rPr>
        <w:t>）平均深度约</w:t>
      </w:r>
      <w:r>
        <w:rPr>
          <w:rFonts w:ascii="Times New Roman"/>
          <w:color w:val="000000"/>
          <w:spacing w:val="0"/>
          <w:sz w:val="21"/>
        </w:rPr>
        <w:t xml:space="preserve"> 4.3 </w:t>
      </w:r>
      <w:r>
        <w:rPr>
          <w:rFonts w:ascii="楷体" w:hAnsi="楷体" w:cs="楷体"/>
          <w:color w:val="000000"/>
          <w:spacing w:val="0"/>
          <w:sz w:val="21"/>
        </w:rPr>
        <w:t>米，湖中只有卤虫等少数耐盐物种。研究表明，</w:t>
      </w:r>
      <w:r>
        <w:rPr>
          <w:rFonts w:ascii="Times New Roman"/>
          <w:color w:val="000000"/>
          <w:spacing w:val="0"/>
          <w:sz w:val="21"/>
        </w:rPr>
        <w:t>120</w:t>
      </w:r>
      <w:r>
        <w:rPr>
          <w:rFonts w:ascii="楷体" w:hAnsi="楷体" w:cs="楷体"/>
          <w:color w:val="000000"/>
          <w:spacing w:val="0"/>
          <w:sz w:val="21"/>
        </w:rPr>
        <w:t>‰</w:t>
      </w:r>
      <w:r>
        <w:rPr>
          <w:rFonts w:ascii="Times New Roman"/>
          <w:color w:val="000000"/>
          <w:spacing w:val="0"/>
          <w:sz w:val="21"/>
        </w:rPr>
        <w:t>~160</w:t>
      </w:r>
      <w:r>
        <w:rPr>
          <w:rFonts w:ascii="楷体" w:hAnsi="楷体" w:cs="楷体"/>
          <w:color w:val="000000"/>
          <w:spacing w:val="0"/>
          <w:sz w:val="21"/>
        </w:rPr>
        <w:t>‰的盐</w:t>
      </w:r>
    </w:p>
    <w:p w14:paraId="1F0912D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度可使大盐湖中卤虫种群维持较高的密度。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世纪初，湖上修建了一座跨湖木制铁路桥。该桥在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1959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年被</w:t>
      </w:r>
    </w:p>
    <w:p w14:paraId="1D787568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一条新建的与其平行的砂石路基铁路取代。砂石路基将大盐湖分为北湾和南湾，并催生了两湾的特色产业</w:t>
      </w:r>
    </w:p>
    <w:p w14:paraId="2D6A9084">
      <w:pPr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——北湾的盐业和南湾的卤虫捕捞业。</w:t>
      </w:r>
      <w:r>
        <w:rPr>
          <w:rFonts w:ascii="Times New Roman"/>
          <w:color w:val="000000"/>
          <w:spacing w:val="0"/>
          <w:sz w:val="21"/>
        </w:rPr>
        <w:t xml:space="preserve">2013 </w:t>
      </w:r>
      <w:r>
        <w:rPr>
          <w:rFonts w:ascii="楷体" w:hAnsi="楷体" w:cs="楷体"/>
          <w:color w:val="000000"/>
          <w:spacing w:val="0"/>
          <w:sz w:val="21"/>
        </w:rPr>
        <w:t>年，砂石路基仅有的两处</w:t>
      </w:r>
      <w:r>
        <w:rPr>
          <w:rFonts w:ascii="Times New Roman"/>
          <w:color w:val="000000"/>
          <w:spacing w:val="0"/>
          <w:sz w:val="21"/>
        </w:rPr>
        <w:t xml:space="preserve"> 4.6 </w:t>
      </w:r>
      <w:r>
        <w:rPr>
          <w:rFonts w:ascii="楷体" w:hAnsi="楷体" w:cs="楷体"/>
          <w:color w:val="000000"/>
          <w:spacing w:val="0"/>
          <w:sz w:val="21"/>
        </w:rPr>
        <w:t>米宽的涵洞因老化被永久封闭。</w:t>
      </w:r>
    </w:p>
    <w:p w14:paraId="49BEB6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2016 </w:t>
      </w:r>
      <w:r>
        <w:rPr>
          <w:rFonts w:ascii="楷体" w:hAnsi="楷体" w:cs="楷体"/>
          <w:color w:val="000000"/>
          <w:spacing w:val="0"/>
          <w:sz w:val="21"/>
        </w:rPr>
        <w:t>年，路基又被挖开一个</w:t>
      </w:r>
      <w:r>
        <w:rPr>
          <w:rFonts w:ascii="Times New Roman"/>
          <w:color w:val="000000"/>
          <w:spacing w:val="0"/>
          <w:sz w:val="21"/>
        </w:rPr>
        <w:t xml:space="preserve"> 55 </w:t>
      </w:r>
      <w:r>
        <w:rPr>
          <w:rFonts w:ascii="楷体" w:hAnsi="楷体" w:cs="楷体"/>
          <w:color w:val="000000"/>
          <w:spacing w:val="0"/>
          <w:sz w:val="21"/>
        </w:rPr>
        <w:t>米宽的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新缺口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，并修建了桥梁和一道高度可调整的水下石坝（图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楷体" w:hAnsi="楷体" w:cs="楷体"/>
          <w:color w:val="000000"/>
          <w:spacing w:val="-105"/>
          <w:sz w:val="21"/>
        </w:rPr>
        <w:t>）。</w:t>
      </w:r>
    </w:p>
    <w:p w14:paraId="1030FE1C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据此完成下面小题。</w:t>
      </w:r>
    </w:p>
    <w:p w14:paraId="2AD45BF1">
      <w:pPr>
        <w:spacing w:before="273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1. 1959 </w:t>
      </w:r>
      <w:r>
        <w:rPr>
          <w:rFonts w:ascii="宋体" w:hAnsi="宋体" w:cs="宋体"/>
          <w:color w:val="000000"/>
          <w:spacing w:val="0"/>
          <w:sz w:val="21"/>
        </w:rPr>
        <w:t>年修建砂石路基铁路取代木制铁路桥，其主要目的是（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060974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①降低维护成本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②提高铁路运力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③缩短运输距离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④促进航运发展</w:t>
      </w:r>
    </w:p>
    <w:p w14:paraId="6DBE89C6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5D3AB97A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2. 2016 </w:t>
      </w:r>
      <w:r>
        <w:rPr>
          <w:rFonts w:ascii="宋体" w:hAnsi="宋体" w:cs="宋体"/>
          <w:color w:val="000000"/>
          <w:spacing w:val="0"/>
          <w:sz w:val="21"/>
        </w:rPr>
        <w:t>年挖开新缺口对大盐湖产生的影响是（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29D190F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增加入湖地表径流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缩小南北湾之间水位差</w:t>
      </w:r>
    </w:p>
    <w:p w14:paraId="764514B3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增加北湾湖水盐度</w:t>
      </w:r>
      <w:r>
        <w:rPr>
          <w:rFonts w:ascii="Times New Roman"/>
          <w:color w:val="000000"/>
          <w:spacing w:val="28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减小南湾湖床出露面积</w:t>
      </w:r>
    </w:p>
    <w:p w14:paraId="3716A60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截至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2023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年，因该区域连年干旱，水下石坝较修建时被加高了近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米。推测加高石坝的主要目的是（</w:t>
      </w:r>
    </w:p>
    <w:p w14:paraId="25BB5D2B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0BB3AA8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便于引水灌溉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降低北湾采盐成本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限制船舶通行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保护南湾生态系统</w:t>
      </w:r>
    </w:p>
    <w:p w14:paraId="109955D6">
      <w:pPr>
        <w:spacing w:before="25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AE5A03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9EA062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2923B5D">
      <w:pPr>
        <w:pStyle w:val="4"/>
        <w:sectPr>
          <w:pgSz w:w="11900" w:h="16840"/>
          <w:pgMar w:top="138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A39987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3CC34CF">
      <w:pPr>
        <w:spacing w:before="0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53pt;margin-top:353.95pt;height:126.55pt;width:402.6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9.8pt;margin-top:318.7pt;height:8.75pt;width:4.2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60.55pt;margin-top:521.3pt;height:8.75pt;width:4.2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J </w:t>
      </w:r>
      <w:r>
        <w:rPr>
          <w:rFonts w:ascii="楷体" w:hAnsi="楷体" w:cs="楷体"/>
          <w:color w:val="000000"/>
          <w:spacing w:val="0"/>
          <w:sz w:val="21"/>
        </w:rPr>
        <w:t>公司是一家以电子产品关键零部件供应为主营业务的高新技术企业。近年来，</w:t>
      </w:r>
      <w:r>
        <w:rPr>
          <w:rFonts w:ascii="Times New Roman"/>
          <w:color w:val="000000"/>
          <w:spacing w:val="0"/>
          <w:sz w:val="21"/>
        </w:rPr>
        <w:t xml:space="preserve">J </w:t>
      </w:r>
      <w:r>
        <w:rPr>
          <w:rFonts w:ascii="楷体" w:hAnsi="楷体" w:cs="楷体"/>
          <w:color w:val="000000"/>
          <w:spacing w:val="0"/>
          <w:sz w:val="21"/>
        </w:rPr>
        <w:t>公司开发了一款工业</w:t>
      </w:r>
    </w:p>
    <w:p w14:paraId="1A8E9C4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互联网平台，并邀请众多电子产品零部件生产工厂入驻。该公司承接的订单包括产品打样订单和批量生产</w:t>
      </w:r>
    </w:p>
    <w:p w14:paraId="7211B5E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1"/>
          <w:sz w:val="21"/>
        </w:rPr>
        <w:t>订单两类。打样的目的在于验证和测试，样品数量一般几件到几十件不等，成本较高。</w:t>
      </w:r>
      <w:r>
        <w:rPr>
          <w:rFonts w:ascii="Times New Roman"/>
          <w:color w:val="000000"/>
          <w:spacing w:val="0"/>
          <w:sz w:val="21"/>
        </w:rPr>
        <w:t>J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公司以较低的报价</w:t>
      </w:r>
    </w:p>
    <w:p w14:paraId="07AEEB5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承接打样订单，并安排其自营工厂生产，由此获得的批量生产订单则通过平台匹配给适宜的工厂完成。据</w:t>
      </w:r>
    </w:p>
    <w:p w14:paraId="03754A9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此完成下面小题。</w:t>
      </w:r>
    </w:p>
    <w:p w14:paraId="1906F16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打样订单由自营工厂完成的主要目的是（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0B7BA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减少材料消耗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节省样品运输时间</w:t>
      </w:r>
    </w:p>
    <w:p w14:paraId="7C7EF5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确保样品质量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提高打样订单利润</w:t>
      </w:r>
    </w:p>
    <w:p w14:paraId="291ADEB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5. J </w:t>
      </w:r>
      <w:r>
        <w:rPr>
          <w:rFonts w:ascii="宋体" w:hAnsi="宋体" w:cs="宋体"/>
          <w:color w:val="000000"/>
          <w:spacing w:val="0"/>
          <w:sz w:val="21"/>
        </w:rPr>
        <w:t>公司开发的工业互联网平台的主要作用是（</w:t>
      </w:r>
      <w:r>
        <w:rPr>
          <w:rFonts w:ascii="Times New Roman"/>
          <w:color w:val="000000"/>
          <w:spacing w:val="26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F178A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减少生产工序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优化生产资源配置</w:t>
      </w:r>
    </w:p>
    <w:p w14:paraId="2071DD07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延长产业链条</w:t>
      </w:r>
      <w:r>
        <w:rPr>
          <w:rFonts w:ascii="Times New Roman"/>
          <w:color w:val="000000"/>
          <w:spacing w:val="32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加强生产技术交流</w:t>
      </w:r>
    </w:p>
    <w:p w14:paraId="2A044760">
      <w:pPr>
        <w:spacing w:before="381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下图示意某人口大国</w:t>
      </w:r>
      <w:r>
        <w:rPr>
          <w:rFonts w:ascii="Times New Roman"/>
          <w:color w:val="000000"/>
          <w:spacing w:val="0"/>
          <w:sz w:val="21"/>
        </w:rPr>
        <w:t xml:space="preserve"> 1997~2017 </w:t>
      </w:r>
      <w:r>
        <w:rPr>
          <w:rFonts w:ascii="楷体" w:hAnsi="楷体" w:cs="楷体"/>
          <w:color w:val="000000"/>
          <w:spacing w:val="0"/>
          <w:sz w:val="21"/>
        </w:rPr>
        <w:t>年人口总抚养比和少年儿童抚养比的变化，据此完成下面小题。</w:t>
      </w:r>
    </w:p>
    <w:p w14:paraId="1A998E9B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6. 1997~2017 </w:t>
      </w:r>
      <w:r>
        <w:rPr>
          <w:rFonts w:ascii="宋体" w:hAnsi="宋体" w:cs="宋体"/>
          <w:color w:val="000000"/>
          <w:spacing w:val="0"/>
          <w:sz w:val="21"/>
        </w:rPr>
        <w:t>年，该国人口数量（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2A3364F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持续增长</w:t>
      </w:r>
      <w:r>
        <w:rPr>
          <w:rFonts w:ascii="Times New Roman"/>
          <w:color w:val="000000"/>
          <w:spacing w:val="12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持续下降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先增后减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保持稳定</w:t>
      </w:r>
    </w:p>
    <w:p w14:paraId="1371ECFA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7. 1997~2017 </w:t>
      </w:r>
      <w:r>
        <w:rPr>
          <w:rFonts w:ascii="宋体" w:hAnsi="宋体" w:cs="宋体"/>
          <w:color w:val="000000"/>
          <w:spacing w:val="0"/>
          <w:sz w:val="21"/>
        </w:rPr>
        <w:t>年，该国（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0FA62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老年人口数量保持稳定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劳动年龄人口数量有所下降</w:t>
      </w:r>
    </w:p>
    <w:p w14:paraId="1795FF6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老年人口比重不断增加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劳动年龄人口比重变化较小</w:t>
      </w:r>
    </w:p>
    <w:p w14:paraId="4841A75A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风向或风速分布不均匀时，空气会发生辐合（或辐散）。散度是描述空气从周围向某一处汇合或从某一</w:t>
      </w:r>
    </w:p>
    <w:p w14:paraId="0C80775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处向周围流散的程度的量。某年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17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~18 </w:t>
      </w:r>
      <w:r>
        <w:rPr>
          <w:rFonts w:ascii="楷体" w:hAnsi="楷体" w:cs="楷体"/>
          <w:color w:val="000000"/>
          <w:spacing w:val="0"/>
          <w:sz w:val="21"/>
        </w:rPr>
        <w:t>日，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楷体" w:hAnsi="楷体" w:cs="楷体"/>
          <w:color w:val="000000"/>
          <w:spacing w:val="0"/>
          <w:sz w:val="21"/>
        </w:rPr>
        <w:t>地经历了一次暴雷天气。下图示意</w:t>
      </w:r>
      <w:r>
        <w:rPr>
          <w:rFonts w:ascii="Times New Roman"/>
          <w:color w:val="000000"/>
          <w:spacing w:val="0"/>
          <w:sz w:val="21"/>
        </w:rPr>
        <w:t xml:space="preserve"> 18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楷体" w:hAnsi="楷体" w:cs="楷体"/>
          <w:color w:val="000000"/>
          <w:spacing w:val="0"/>
          <w:sz w:val="21"/>
        </w:rPr>
        <w:t>时沿</w:t>
      </w:r>
      <w:r>
        <w:rPr>
          <w:rFonts w:ascii="Times New Roman"/>
          <w:color w:val="000000"/>
          <w:spacing w:val="0"/>
          <w:sz w:val="21"/>
        </w:rPr>
        <w:t xml:space="preserve"> 106</w:t>
      </w:r>
      <w:r>
        <w:rPr>
          <w:rFonts w:ascii="楷体" w:hAnsi="楷体" w:cs="楷体"/>
          <w:color w:val="000000"/>
          <w:spacing w:val="0"/>
          <w:sz w:val="21"/>
        </w:rPr>
        <w:t>°</w:t>
      </w:r>
    </w:p>
    <w:p w14:paraId="101740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E </w:t>
      </w:r>
      <w:r>
        <w:rPr>
          <w:rFonts w:ascii="楷体" w:hAnsi="楷体" w:cs="楷体"/>
          <w:color w:val="000000"/>
          <w:spacing w:val="0"/>
          <w:sz w:val="21"/>
        </w:rPr>
        <w:t>经线（经过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楷体" w:hAnsi="楷体" w:cs="楷体"/>
          <w:color w:val="000000"/>
          <w:spacing w:val="0"/>
          <w:sz w:val="21"/>
        </w:rPr>
        <w:t>地）的散度等值线垂直分布，散度大于</w:t>
      </w:r>
      <w:r>
        <w:rPr>
          <w:rFonts w:ascii="Times New Roman"/>
          <w:color w:val="000000"/>
          <w:spacing w:val="0"/>
          <w:sz w:val="21"/>
        </w:rPr>
        <w:t xml:space="preserve"> 0 </w:t>
      </w:r>
      <w:r>
        <w:rPr>
          <w:rFonts w:ascii="楷体" w:hAnsi="楷体" w:cs="楷体"/>
          <w:color w:val="000000"/>
          <w:spacing w:val="0"/>
          <w:sz w:val="21"/>
        </w:rPr>
        <w:t>表示水平辐散，小于</w:t>
      </w:r>
      <w:r>
        <w:rPr>
          <w:rFonts w:ascii="Times New Roman"/>
          <w:color w:val="000000"/>
          <w:spacing w:val="0"/>
          <w:sz w:val="21"/>
        </w:rPr>
        <w:t xml:space="preserve"> 0 </w:t>
      </w:r>
      <w:r>
        <w:rPr>
          <w:rFonts w:ascii="楷体" w:hAnsi="楷体" w:cs="楷体"/>
          <w:color w:val="000000"/>
          <w:spacing w:val="0"/>
          <w:sz w:val="21"/>
        </w:rPr>
        <w:t>表示水平辐合。据此完成</w:t>
      </w:r>
    </w:p>
    <w:p w14:paraId="0B60D52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下面小题。</w:t>
      </w:r>
    </w:p>
    <w:p w14:paraId="2CF2CC38">
      <w:pPr>
        <w:spacing w:before="152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EFEDEF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34588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EC2145F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2EEE9C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8E079A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1" o:spid="_x0000_s1041" o:spt="75" type="#_x0000_t75" style="position:absolute;left:0pt;margin-left:53pt;margin-top:71.8pt;height:175.35pt;width:367.4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53pt;margin-top:393.75pt;height:93.55pt;width:337.4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16.8pt;margin-top:769.7pt;height:2.75pt;width:2.7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363.65pt;margin-top:561.85pt;height:16.25pt;width:12.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8. 18 </w:t>
      </w:r>
      <w:r>
        <w:rPr>
          <w:rFonts w:ascii="宋体" w:hAnsi="宋体" w:cs="宋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宋体" w:hAnsi="宋体" w:cs="宋体"/>
          <w:color w:val="000000"/>
          <w:spacing w:val="0"/>
          <w:sz w:val="21"/>
        </w:rPr>
        <w:t>时，甲、乙、丙、丁四处附近，风向和风速分布最均匀的是（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A17A0C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甲处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乙处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丙处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丁处</w:t>
      </w:r>
    </w:p>
    <w:p w14:paraId="6E6BAD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推测</w:t>
      </w:r>
      <w:r>
        <w:rPr>
          <w:rFonts w:ascii="Times New Roman"/>
          <w:color w:val="000000"/>
          <w:spacing w:val="0"/>
          <w:sz w:val="21"/>
        </w:rPr>
        <w:t xml:space="preserve"> 18 </w:t>
      </w:r>
      <w:r>
        <w:rPr>
          <w:rFonts w:ascii="宋体" w:hAnsi="宋体" w:cs="宋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宋体" w:hAnsi="宋体" w:cs="宋体"/>
          <w:color w:val="000000"/>
          <w:spacing w:val="0"/>
          <w:sz w:val="21"/>
        </w:rPr>
        <w:t>时，暴雪天气最可能出现在图所示的（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9D980E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33</w:t>
      </w:r>
      <w:r>
        <w:rPr>
          <w:rFonts w:ascii="宋体" w:hAnsi="宋体" w:cs="宋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附近</w:t>
      </w:r>
      <w:r>
        <w:rPr>
          <w:rFonts w:ascii="Times New Roman"/>
          <w:color w:val="000000"/>
          <w:spacing w:val="10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36</w:t>
      </w:r>
      <w:r>
        <w:rPr>
          <w:rFonts w:ascii="宋体" w:hAnsi="宋体" w:cs="宋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附近</w:t>
      </w:r>
      <w:r>
        <w:rPr>
          <w:rFonts w:ascii="Times New Roman"/>
          <w:color w:val="000000"/>
          <w:spacing w:val="109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38</w:t>
      </w:r>
      <w:r>
        <w:rPr>
          <w:rFonts w:ascii="宋体" w:hAnsi="宋体" w:cs="宋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附近</w:t>
      </w:r>
      <w:r>
        <w:rPr>
          <w:rFonts w:ascii="Times New Roman"/>
          <w:color w:val="000000"/>
          <w:spacing w:val="10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40</w:t>
      </w:r>
      <w:r>
        <w:rPr>
          <w:rFonts w:ascii="宋体" w:hAnsi="宋体" w:cs="宋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附近</w:t>
      </w:r>
    </w:p>
    <w:p w14:paraId="60728E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10. 18 </w:t>
      </w:r>
      <w:r>
        <w:rPr>
          <w:rFonts w:ascii="宋体" w:hAnsi="宋体" w:cs="宋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0"/>
          <w:sz w:val="21"/>
        </w:rPr>
        <w:t xml:space="preserve"> 8 </w:t>
      </w:r>
      <w:r>
        <w:rPr>
          <w:rFonts w:ascii="宋体" w:hAnsi="宋体" w:cs="宋体"/>
          <w:color w:val="000000"/>
          <w:spacing w:val="0"/>
          <w:sz w:val="21"/>
        </w:rPr>
        <w:t>时至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地近地面出现由偏东风和偏南风两股气流形成的气旋式辐合线，该辐合线有利于</w:t>
      </w:r>
    </w:p>
    <w:p w14:paraId="374E209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暴雪天气的维持。下图中对该辐合线附近风场示意正确的是（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FC6357">
      <w:pPr>
        <w:spacing w:before="211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9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19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19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④</w:t>
      </w:r>
    </w:p>
    <w:p w14:paraId="36BA8574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某观星软件能够模拟出不受昼夜、天气等客观因素限制的真实星空景象，人们可以通过设定位置和时</w:t>
      </w:r>
    </w:p>
    <w:p w14:paraId="07AA59E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间参数观测地球上任一点地平面以上的恒星分布。据此完成下面小题。</w:t>
      </w:r>
    </w:p>
    <w:p w14:paraId="20BF8B4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小明使用该软件模拟在山东省某地观测恒星时，观测到一颗遥远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恒星在某一时刻正好位于天顶。小明</w:t>
      </w:r>
    </w:p>
    <w:p w14:paraId="29F93BF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将时间参数调整为第二天的相同时刻，则观测到该恒星的位置相较于调整前（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3A0A80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偏东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偏西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偏南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不变</w:t>
      </w:r>
    </w:p>
    <w:p w14:paraId="62680A1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小明在该软件中将观测点分别设定在我国下列四地，并模拟一日观测，小明能观测到的恒星数量理论上</w:t>
      </w:r>
    </w:p>
    <w:p w14:paraId="2515DDB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最多的是（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C0D2F3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曾母暗沙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钓鱼岛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乌鲁木齐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漠河</w:t>
      </w:r>
    </w:p>
    <w:p w14:paraId="615866DC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内河航道是河流水道中相对固定、能够保障船舶安全航行的通道：船舶由下游向上游行驶为上行，反</w:t>
      </w:r>
    </w:p>
    <w:p w14:paraId="201FA8A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之为下行。下图所示河段河水水位、流速和流向会随潮汐发生周期性改变。该河段各航道均能保障小型船</w:t>
      </w:r>
    </w:p>
    <w:p w14:paraId="3D7C21C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舶全时段双向通行。该河段船舶航行时须靠航道右侧行驶。据此完成下面小题。</w:t>
      </w:r>
    </w:p>
    <w:p w14:paraId="08B128DC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E68C7F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15B3F8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B931806">
      <w:pPr>
        <w:pStyle w:val="4"/>
        <w:sectPr>
          <w:pgSz w:w="11900" w:h="16840"/>
          <w:pgMar w:top="518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A70E1D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274523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7" o:spid="_x0000_s1047" o:spt="75" type="#_x0000_t75" style="position:absolute;left:0pt;margin-left:53pt;margin-top:70.3pt;height:164.1pt;width:385.4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212.1pt;margin-top:473.3pt;height:5.75pt;width: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16.8pt;margin-top:769.7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53pt;margin-top:559.6pt;height:158.1pt;width:209.1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涨潮时段，该河段经常出现上行小型船舶的通行高峰，其主要影响因素是（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11CD3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水面落差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河流水深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泥沙含量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河面宽度</w:t>
      </w:r>
    </w:p>
    <w:p w14:paraId="6F4AA6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大型船舶无法直接经福北水道下行停靠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港，须经福中水道下行，转如皋中汊上行停靠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港，其主要原</w:t>
      </w:r>
    </w:p>
    <w:p w14:paraId="7D6113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因是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港附近的下行航道（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DD9BE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水位高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水流急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淤积强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曲率大</w:t>
      </w:r>
    </w:p>
    <w:p w14:paraId="261345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船舶夜间航行时，使用北斗卫星导航系统的主要目的是（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C2AE5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监测流速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探测水深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测定流向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校正航向</w:t>
      </w:r>
    </w:p>
    <w:p w14:paraId="7E2B137A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1D64F46A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27163764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日本和歌山县某地区山地陡峭、土壤贫瘠。大约四百年前，人们开始尝试在山坡上种植青梅。经过长</w:t>
      </w:r>
    </w:p>
    <w:p w14:paraId="0FDC982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期发展，当地逐渐形成了稳定的集种植、加工、旅游等为一体的青梅复合生产系统（下图）。当地青梅有早、</w:t>
      </w:r>
    </w:p>
    <w:p w14:paraId="4493F26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中、晚熟等品种，普遍具有皮薄、肉多、核小等优良特性，年产量占日本的一半。农户除出售鲜梅外，还</w:t>
      </w:r>
    </w:p>
    <w:p w14:paraId="566290E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将青梅加工成梅干等初级产品，并依托梅林开展赏花、采摘等活动。青梅复合生产系统为当地农户带来了</w:t>
      </w:r>
    </w:p>
    <w:p w14:paraId="15DB0BC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稳定收入。</w:t>
      </w:r>
    </w:p>
    <w:p w14:paraId="1408C667">
      <w:pPr>
        <w:spacing w:before="33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）说明梅树下草本植物、乔灌混交林对梅林土壤养分维持所起的作用。</w:t>
      </w:r>
    </w:p>
    <w:p w14:paraId="77AF13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）说明当地农户通过青梅复合生产系统能够获得稳定收入的原因。</w:t>
      </w:r>
    </w:p>
    <w:p w14:paraId="570E1095">
      <w:pPr>
        <w:spacing w:before="20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C90ECD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51816D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9644CC0">
      <w:pPr>
        <w:pStyle w:val="4"/>
        <w:sectPr>
          <w:pgSz w:w="11900" w:h="16840"/>
          <w:pgMar w:top="48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07866F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B659D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3" o:spid="_x0000_s1053" o:spt="75" type="#_x0000_t75" style="position:absolute;left:0pt;margin-left:404.15pt;margin-top:72.55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53pt;margin-top:440.25pt;height:251.15pt;width:254.8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16.8pt;margin-top:769.7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3AD7CCA5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材料一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中试是指某项科技成果在研发成功后，为验证其技术可行性、优化工艺并降低产业化风险而</w:t>
      </w:r>
    </w:p>
    <w:p w14:paraId="4AAF69C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进行的小批量产品生产试验。</w:t>
      </w:r>
    </w:p>
    <w:p w14:paraId="54BDDB8F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材料二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河南省三门峡市矿产资源丰富，是较为典型的资源型城市。近年来、该市积极推进中试基地</w:t>
      </w:r>
    </w:p>
    <w:p w14:paraId="4BFCD10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建设，力争通过中试将省内外研发成功的科技成果尽快在本市转化应用，促进产业转型。该市依托中试基</w:t>
      </w:r>
    </w:p>
    <w:p w14:paraId="12AF680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地加强与多地高校、科研院所的深度合作，逐步改善当地科研基础薄弱的状况；建成了“多金属资源综合</w:t>
      </w:r>
    </w:p>
    <w:p w14:paraId="6918462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利用”“花果酒饮品及牡丹深加工”等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楷体" w:hAnsi="楷体" w:cs="楷体"/>
          <w:color w:val="000000"/>
          <w:spacing w:val="0"/>
          <w:sz w:val="21"/>
        </w:rPr>
        <w:t>家省级中试基地。目前，三门峡市中试基地已承担数十项中试项</w:t>
      </w:r>
    </w:p>
    <w:p w14:paraId="78C3E1D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目，部分项目已中试成功并在本市实现产业化。</w:t>
      </w:r>
    </w:p>
    <w:p w14:paraId="70D52E47">
      <w:pPr>
        <w:spacing w:before="248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材料三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超高纯镓是制造新一代半导体等的重要原材料。我国超高纯镓一度以进口为主，制约了战略</w:t>
      </w:r>
    </w:p>
    <w:p w14:paraId="722A22A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性新兴产业的发展。三门峡市从铝冶炼副产品中提取粗镓和精镓的产能居全国前列。</w:t>
      </w:r>
      <w:r>
        <w:rPr>
          <w:rFonts w:ascii="Times New Roman"/>
          <w:color w:val="000000"/>
          <w:spacing w:val="0"/>
          <w:sz w:val="21"/>
        </w:rPr>
        <w:t xml:space="preserve">2024 </w:t>
      </w:r>
      <w:r>
        <w:rPr>
          <w:rFonts w:ascii="楷体" w:hAnsi="楷体" w:cs="楷体"/>
          <w:color w:val="000000"/>
          <w:spacing w:val="0"/>
          <w:sz w:val="21"/>
        </w:rPr>
        <w:t>年，超高纯镓生</w:t>
      </w:r>
    </w:p>
    <w:p w14:paraId="4C98A4D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产技术在该市的中试基地试验成功。</w:t>
      </w:r>
    </w:p>
    <w:p w14:paraId="3F33507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）分析三门峡市建设中试基地对该市产业转型的促进作用。</w:t>
      </w:r>
    </w:p>
    <w:p w14:paraId="286D06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）说明超高纯镓中试成功对我国战略性新兴产业发展的意义。</w:t>
      </w:r>
    </w:p>
    <w:p w14:paraId="6340C7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3EA27312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海水性质的水平分布与垂直变化受多种因素的影响。下图示意大西洋局部海域的风速、风向以及浮游</w:t>
      </w:r>
    </w:p>
    <w:p w14:paraId="67A8EF8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植物生物量高值区。</w:t>
      </w:r>
    </w:p>
    <w:p w14:paraId="3614ECA5">
      <w:pPr>
        <w:spacing w:before="523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）营养盐是影响浮游植物生物量的主要因素之一。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两海区营养盐含量均较高，但主导因素不同。</w:t>
      </w:r>
    </w:p>
    <w:p w14:paraId="5FEC92C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分别指出导致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两海区营养盐含量较高的主导因素。</w:t>
      </w:r>
    </w:p>
    <w:p w14:paraId="710D4D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"/>
          <w:sz w:val="21"/>
        </w:rPr>
        <w:t>）溶解氧是以分子形式存在于水体中的氧气。下图示意该海域沿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23</w:t>
      </w:r>
      <w:r>
        <w:rPr>
          <w:rFonts w:ascii="宋体" w:hAnsi="宋体" w:cs="宋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纬线局部断面溶解氧浓度的垂直</w:t>
      </w:r>
    </w:p>
    <w:p w14:paraId="1E511EB1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74A1F3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FBB8D8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1664F39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110FDE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E3760C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058" o:spid="_x0000_s1058" o:spt="75" type="#_x0000_t75" style="position:absolute;left:0pt;margin-left:404.15pt;margin-top:72.55pt;height:2.75pt;width:2.7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53pt;margin-top:335.95pt;height:209.1pt;width:344.1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16.8pt;margin-top:769.7pt;height:2.75pt;width:2.7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53pt;margin-top:90.55pt;height:122.8pt;width:265.3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368.15pt;margin-top:241.4pt;height:16.25pt;width:12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变化。说明该断面底层海水溶解氧浓度低的主要原因。</w:t>
      </w:r>
    </w:p>
    <w:p w14:paraId="3962D421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）某科研团队研究发现，全球变暖会导致该海域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23</w:t>
      </w:r>
      <w:r>
        <w:rPr>
          <w:rFonts w:ascii="宋体" w:hAnsi="宋体" w:cs="宋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附近海区信风增强，信风增强可能引起表层海水</w:t>
      </w:r>
    </w:p>
    <w:p w14:paraId="6401CC5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溶解氧浓度变化。从信风增强角度，推测该海区表层海水溶解氧浓度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可能变化，并说明理由。</w:t>
      </w:r>
    </w:p>
    <w:p w14:paraId="1039C66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阅读材料，完成下列要求。</w:t>
      </w:r>
    </w:p>
    <w:p w14:paraId="75BB4259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楷体" w:hAnsi="楷体" w:cs="楷体"/>
          <w:color w:val="000000"/>
          <w:spacing w:val="0"/>
          <w:sz w:val="21"/>
        </w:rPr>
        <w:t>示意甲、乙两河的部分流域。约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楷体" w:hAnsi="楷体" w:cs="楷体"/>
          <w:color w:val="000000"/>
          <w:spacing w:val="0"/>
          <w:sz w:val="21"/>
        </w:rPr>
        <w:t>万年前，该区域发生了河流袭夺。图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楷体" w:hAnsi="楷体" w:cs="楷体"/>
          <w:color w:val="000000"/>
          <w:spacing w:val="0"/>
          <w:sz w:val="21"/>
        </w:rPr>
        <w:t>示意乙河阶地研究区的</w:t>
      </w:r>
    </w:p>
    <w:p w14:paraId="6979365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阶地剖面模式。</w:t>
      </w:r>
    </w:p>
    <w:p w14:paraId="192089DB">
      <w:pPr>
        <w:spacing w:before="460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）用虚线“</w:t>
      </w:r>
      <w:r>
        <w:rPr>
          <w:rFonts w:ascii="Times New Roman"/>
          <w:color w:val="000000"/>
          <w:spacing w:val="0"/>
          <w:sz w:val="21"/>
        </w:rPr>
        <w:t>----</w:t>
      </w:r>
      <w:r>
        <w:rPr>
          <w:rFonts w:ascii="宋体" w:hAnsi="宋体" w:cs="宋体"/>
          <w:color w:val="000000"/>
          <w:spacing w:val="0"/>
          <w:sz w:val="21"/>
        </w:rPr>
        <w:t>”在图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-3"/>
          <w:sz w:val="21"/>
        </w:rPr>
        <w:t>中画出甲河流域与乙河流域之间的分水线（分水岭最高点的连线）。</w:t>
      </w:r>
    </w:p>
    <w:p w14:paraId="2F3CD9C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信息，指出在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阶地的形成过程中，河流下切最深处的拔河高度、并说明判断依据。</w:t>
      </w:r>
    </w:p>
    <w:p w14:paraId="04EF72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22"/>
          <w:sz w:val="21"/>
        </w:rPr>
        <w:t>）图</w:t>
      </w:r>
      <w:r>
        <w:rPr>
          <w:rFonts w:ascii="Times New Roman"/>
          <w:color w:val="000000"/>
          <w:spacing w:val="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为图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处的地质剖面示意图，其中古土壤的物质组成继承了下层河流沉积物的成分。从外力</w:t>
      </w:r>
    </w:p>
    <w:p w14:paraId="5114099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作用变化的角度，说明图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中基岩以上各层的形成过程。</w:t>
      </w:r>
    </w:p>
    <w:p w14:paraId="6ACBE1BC">
      <w:pPr>
        <w:spacing w:before="260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507B0A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198B2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C3EFB45">
      <w:pPr>
        <w:pStyle w:val="4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F7E1C9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574A6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_GoBack"/>
      <w:bookmarkEnd w:id="7"/>
      <w:bookmarkStart w:id="6" w:name="br7"/>
      <w:bookmarkEnd w:id="6"/>
      <w:r>
        <w:pict>
          <v:shape id="_x0000_s1065" o:spid="_x0000_s1065" o:spt="75" type="#_x0000_t75" style="position:absolute;left:0pt;margin-left:404.15pt;margin-top:72.55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212.1pt;margin-top:473.3pt;height:5.75pt;width: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116.8pt;margin-top:769.7pt;height:2.75pt;width:2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53pt;margin-top:71.05pt;height:130.35pt;width:87.5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71" w:right="100" w:bottom="0" w:left="5244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144F8389-D712-42F8-8B9D-30B4EFAFECE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88DDA685-5375-4C09-938C-63B1BE9E350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804CB25-4109-4DFF-B426-99A91315A13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104E3C7-F33D-40C5-A9D4-4DAEE83166F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79FF5D6-A6EC-4146-AC39-75B876D552B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8E655AF-B318-4ABE-ACEA-4D348EBBBB2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C2AAACD-F3CF-4834-92EE-428D8D9D27C9}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  <w:embedRegular r:id="rId8" w:fontKey="{3E5047EC-81EA-4372-980A-D6D4057B9BC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314960F5-9496-4ED2-A954-AFDBCFEF3520}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10" w:fontKey="{BB30F9B1-366C-451E-92FA-AC3037DDA9A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7EC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4">
    <w:name w:val="No List"/>
    <w:semiHidden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table" w:customStyle="1" w:styleId="5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4"/>
    <customShpInfo spid="_x0000_s1035"/>
    <customShpInfo spid="_x0000_s1036"/>
    <customShpInfo spid="_x0000_s1037"/>
    <customShpInfo spid="_x0000_s1038"/>
    <customShpInfo spid="_x0000_s1041"/>
    <customShpInfo spid="_x0000_s1042"/>
    <customShpInfo spid="_x0000_s1043"/>
    <customShpInfo spid="_x0000_s1044"/>
    <customShpInfo spid="_x0000_s1047"/>
    <customShpInfo spid="_x0000_s1048"/>
    <customShpInfo spid="_x0000_s1049"/>
    <customShpInfo spid="_x0000_s1050"/>
    <customShpInfo spid="_x0000_s1053"/>
    <customShpInfo spid="_x0000_s1054"/>
    <customShpInfo spid="_x0000_s1055"/>
    <customShpInfo spid="_x0000_s1058"/>
    <customShpInfo spid="_x0000_s1059"/>
    <customShpInfo spid="_x0000_s1060"/>
    <customShpInfo spid="_x0000_s1061"/>
    <customShpInfo spid="_x0000_s1062"/>
    <customShpInfo spid="_x0000_s1065"/>
    <customShpInfo spid="_x0000_s1066"/>
    <customShpInfo spid="_x0000_s1067"/>
    <customShpInfo spid="_x0000_s106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7</Pages>
  <Words>3208</Words>
  <Characters>3376</Characters>
  <Lines>0</Lines>
  <Paragraphs>116</Paragraphs>
  <TotalTime>3</TotalTime>
  <ScaleCrop>false</ScaleCrop>
  <LinksUpToDate>false</LinksUpToDate>
  <CharactersWithSpaces>3641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2025-06-19T03:05:00Z</dcterms:created>
  <dc:creator>Administrator</dc:creator>
  <cp:lastModifiedBy>斯派@森校</cp:lastModifiedBy>
  <dcterms:modified xsi:type="dcterms:W3CDTF">2025-06-23T03:04:43Z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eyJoZGlkIjoiN2NkOGZkOWU2NWZhMzZhNDZmMjRmYjAyYjQ0ZmMyNjgiLCJ1c2VySWQiOiIzMTgzMjM0MTYifQ==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634C3BF024A24C7B95301E9DDE01E1AE_12</vt:lpwstr>
  </property>
</Properties>
</file>