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5D3D49" w:rsidP="005D3D49" w14:paraId="31B31971" w14:textId="77777777">
      <w:pPr>
        <w:spacing w:line="360" w:lineRule="auto"/>
        <w:jc w:val="center"/>
      </w:pPr>
      <w:r>
        <w:rPr>
          <w:rFonts w:ascii="Times New Roman" w:eastAsia="新宋体" w:hAnsi="Times New Roman"/>
          <w:b/>
          <w:sz w:val="30"/>
          <w:szCs w:val="30"/>
        </w:rPr>
        <w:t>2013</w:t>
      </w:r>
      <w:r>
        <w:rPr>
          <w:rFonts w:ascii="Times New Roman" w:eastAsia="新宋体" w:hAnsi="Times New Roman" w:hint="eastAsia"/>
          <w:b/>
          <w:sz w:val="30"/>
          <w:szCs w:val="30"/>
        </w:rPr>
        <w:t>年山东省高考历史试卷</w:t>
      </w:r>
    </w:p>
    <w:p w:rsidR="005D3D49" w:rsidP="005D3D49" w14:paraId="3EE3C816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一、选择题（共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5D3D49" w:rsidP="005D3D49" w14:paraId="437FCB22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分）《周礼•考工记》载：建造王城，九里见方，四周各三门，南北和东西大道各九条，宫城之左为宗庙，右为社稷，前为朝，后为市。它体现的主要思想是（　　）</w:t>
      </w:r>
    </w:p>
    <w:p w:rsidR="005D3D49" w:rsidP="005D3D49" w14:paraId="18A0BAB6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．中央集权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．中正有序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．敬天法祖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．君权神授</w:t>
      </w:r>
    </w:p>
    <w:p w:rsidR="005D3D49" w:rsidP="005D3D49" w14:paraId="6927860C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分）《汉书•食货志》记载：“贾人有市籍，及家属，皆无得名田，以便农。敢犯令，没人田货。”该禁令的主要目的是（　　）</w:t>
      </w:r>
    </w:p>
    <w:p w:rsidR="005D3D49" w:rsidP="005D3D49" w14:paraId="2C4E6176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．限制商人经营范围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．增加赋税收入</w:t>
      </w:r>
      <w:r>
        <w:tab/>
      </w:r>
    </w:p>
    <w:p w:rsidR="005D3D49" w:rsidP="005D3D49" w14:paraId="55FDC34F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．加强商人户籍管理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．保护小农经济</w:t>
      </w:r>
    </w:p>
    <w:p w:rsidR="005D3D49" w:rsidP="005D3D49" w14:paraId="033A8691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分）自秦汉至宋元，中国政治制度变革的总体趋势是（　　）</w:t>
      </w:r>
    </w:p>
    <w:p w:rsidR="005D3D49" w:rsidP="005D3D49" w14:paraId="77492C7C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．地方政府的自主性逐渐被削弱</w:t>
      </w:r>
      <w:r>
        <w:tab/>
      </w:r>
    </w:p>
    <w:p w:rsidR="005D3D49" w:rsidP="005D3D49" w14:paraId="4D3C79A6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．国家行政权逐渐转移到君主手中</w:t>
      </w:r>
      <w:r>
        <w:tab/>
      </w:r>
    </w:p>
    <w:p w:rsidR="005D3D49" w:rsidP="005D3D49" w14:paraId="2413B5BD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．宰相逐渐退出权力中心</w:t>
      </w:r>
      <w:r>
        <w:tab/>
      </w:r>
    </w:p>
    <w:p w:rsidR="005D3D49" w:rsidP="005D3D49" w14:paraId="232FE4BC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．世卿世禄的贵族政治逐渐被打破</w:t>
      </w:r>
    </w:p>
    <w:p w:rsidR="005D3D49" w:rsidP="005D3D49" w14:paraId="7F66C84D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分）如图文字节选自一则清代档案史料。其撰拟者应是（　　）</w:t>
      </w:r>
    </w:p>
    <w:p w:rsidR="005D3D49" w:rsidP="005D3D49" w14:paraId="251F212B" w14:textId="63C89551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3371850" cy="981075"/>
            <wp:effectExtent l="0" t="0" r="0" b="9525"/>
            <wp:docPr id="1" name="图片 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D49" w:rsidP="005D3D49" w14:paraId="36483761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．中书省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．内阁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．军机处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．礼部</w:t>
      </w:r>
    </w:p>
    <w:p w:rsidR="005D3D49" w:rsidP="005D3D49" w14:paraId="0B814607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/>
          <w:szCs w:val="21"/>
        </w:rPr>
        <w:t>1923</w:t>
      </w:r>
      <w:r>
        <w:rPr>
          <w:rFonts w:ascii="Times New Roman" w:eastAsia="新宋体" w:hAnsi="Times New Roman" w:hint="eastAsia"/>
          <w:szCs w:val="21"/>
        </w:rPr>
        <w:t>年，陈独秀说：“五四运动虽然未能达到理想的成功，而在此运动中最努力的革命青年，逐接受世界的革命思潮，由空想而实际运动，开始了中国革命之新的方向。”陈独秀所说的“中国革命之新的方向”指（　　）</w:t>
      </w:r>
    </w:p>
    <w:p w:rsidR="005D3D49" w:rsidP="005D3D49" w14:paraId="79684073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．武装革命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．无产阶级革命</w:t>
      </w:r>
      <w:r>
        <w:tab/>
      </w:r>
    </w:p>
    <w:p w:rsidR="005D3D49" w:rsidP="005D3D49" w14:paraId="2F7D67AD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．民族革命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．国民革命</w:t>
      </w:r>
    </w:p>
    <w:p w:rsidR="005D3D49" w:rsidP="005D3D49" w14:paraId="78FF20E6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世纪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年代，中苏两国对中国的某一新生事物产生了不同看法。前者认为它是“中国加速社会主义建设，向共产主义过渡的最好形式”；后者则认为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年代的苏联类似尝试，但“在经济上是不合理的”。“它”是指（　　）</w:t>
      </w:r>
    </w:p>
    <w:p w:rsidR="005D3D49" w:rsidP="005D3D49" w14:paraId="6E9E1B93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．土地改革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．“一五”计划</w:t>
      </w:r>
      <w:r>
        <w:tab/>
      </w:r>
    </w:p>
    <w:p w:rsidR="005D3D49" w:rsidP="005D3D49" w14:paraId="4294D8B4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．社会主义三大改造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．人民公社</w:t>
      </w:r>
    </w:p>
    <w:p w:rsidR="005D3D49" w:rsidP="005D3D49" w14:paraId="634A466F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/>
          <w:szCs w:val="21"/>
        </w:rPr>
        <w:t>1788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日，纽约某报纸以《船讯﹣﹣号外》为题发布通告：万世联合船主的幸福船，已载着十三包“联合、和平和友谊”进港，……愚蠢船主的船已载着地方偏见、不和的种子等出港。它赞美的是（　　）</w:t>
      </w:r>
    </w:p>
    <w:p w:rsidR="005D3D49" w:rsidP="005D3D49" w14:paraId="337CF062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．联邦体制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．分权制衡原则</w:t>
      </w:r>
      <w:r>
        <w:tab/>
      </w:r>
    </w:p>
    <w:p w:rsidR="005D3D49" w:rsidP="005D3D49" w14:paraId="5B1EB432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．共和制度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．主权在民原则</w:t>
      </w:r>
    </w:p>
    <w:p w:rsidR="005D3D49" w:rsidP="005D3D49" w14:paraId="43F3BEC7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分）下列关于李贽思想与文艺复兴时期人文主义思想的表述，不正确的是（　　）</w:t>
      </w:r>
    </w:p>
    <w:p w:rsidR="005D3D49" w:rsidP="005D3D49" w14:paraId="78EA9F3F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．都具有思想启蒙意义</w:t>
      </w:r>
      <w:r>
        <w:tab/>
      </w:r>
    </w:p>
    <w:p w:rsidR="005D3D49" w:rsidP="005D3D49" w14:paraId="5BEC349D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．都是商品经济发展的产物</w:t>
      </w:r>
      <w:r>
        <w:tab/>
      </w:r>
    </w:p>
    <w:p w:rsidR="005D3D49" w:rsidP="005D3D49" w14:paraId="0FAB4746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．都体现了新兴资产阶级的愿望</w:t>
      </w:r>
      <w:r>
        <w:tab/>
      </w:r>
    </w:p>
    <w:p w:rsidR="005D3D49" w:rsidP="005D3D49" w14:paraId="38DA12E9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．都宣扬了个性自由和解放</w:t>
      </w:r>
    </w:p>
    <w:p w:rsidR="005D3D49" w:rsidP="005D3D49" w14:paraId="21143D41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二、解答题（共</w:t>
      </w:r>
      <w:r>
        <w:rPr>
          <w:rFonts w:ascii="Times New Roman" w:eastAsia="新宋体" w:hAnsi="Times New Roman"/>
          <w:b/>
          <w:szCs w:val="21"/>
        </w:rPr>
        <w:t>5</w:t>
      </w:r>
      <w:r>
        <w:rPr>
          <w:rFonts w:ascii="Times New Roman" w:eastAsia="新宋体" w:hAnsi="Times New Roman" w:hint="eastAsia"/>
          <w:b/>
          <w:szCs w:val="21"/>
        </w:rPr>
        <w:t>小题，满分</w:t>
      </w:r>
      <w:r>
        <w:rPr>
          <w:rFonts w:ascii="Times New Roman" w:eastAsia="新宋体" w:hAnsi="Times New Roman"/>
          <w:b/>
          <w:szCs w:val="21"/>
        </w:rPr>
        <w:t>76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5D3D49" w:rsidP="005D3D49" w14:paraId="207E9A77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世纪末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世纪初，中国文化教育领域发生了重大变化。阅读材料，回答问题。</w:t>
      </w:r>
    </w:p>
    <w:p w:rsidR="005D3D49" w:rsidP="005D3D49" w14:paraId="33F8956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材料一</w:t>
      </w:r>
      <w:r>
        <w:rPr>
          <w:rFonts w:ascii="Times New Roman" w:eastAsia="新宋体" w:hAnsi="Times New Roman"/>
          <w:szCs w:val="21"/>
        </w:rPr>
        <w:t xml:space="preserve">  </w:t>
      </w:r>
      <w:r>
        <w:rPr>
          <w:rFonts w:ascii="Times New Roman" w:eastAsia="新宋体" w:hAnsi="Times New Roman" w:hint="eastAsia"/>
          <w:szCs w:val="21"/>
        </w:rPr>
        <w:t>表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1902</w:t>
      </w:r>
      <w:r>
        <w:rPr>
          <w:rFonts w:ascii="Times New Roman" w:eastAsia="新宋体" w:hAnsi="Times New Roman" w:hint="eastAsia"/>
          <w:szCs w:val="21"/>
        </w:rPr>
        <w:t>～</w:t>
      </w:r>
      <w:r>
        <w:rPr>
          <w:rFonts w:ascii="Times New Roman" w:eastAsia="新宋体" w:hAnsi="Times New Roman"/>
          <w:szCs w:val="21"/>
        </w:rPr>
        <w:t>1904</w:t>
      </w:r>
      <w:r>
        <w:rPr>
          <w:rFonts w:ascii="Times New Roman" w:eastAsia="新宋体" w:hAnsi="Times New Roman" w:hint="eastAsia"/>
          <w:szCs w:val="21"/>
        </w:rPr>
        <w:t>年译书统计简表。</w:t>
      </w:r>
    </w:p>
    <w:p w:rsidR="005D3D49" w:rsidP="005D3D49" w14:paraId="6287956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表</w:t>
      </w:r>
      <w:r>
        <w:rPr>
          <w:rFonts w:ascii="Times New Roman" w:eastAsia="新宋体" w:hAnsi="Times New Roman"/>
          <w:szCs w:val="21"/>
        </w:rPr>
        <w:t>1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785"/>
        <w:gridCol w:w="930"/>
        <w:gridCol w:w="825"/>
        <w:gridCol w:w="930"/>
        <w:gridCol w:w="930"/>
        <w:gridCol w:w="825"/>
        <w:gridCol w:w="1035"/>
      </w:tblGrid>
      <w:tr w14:paraId="4F338477" w14:textId="77777777">
        <w:tblPrEx>
          <w:tblW w:w="0" w:type="auto"/>
          <w:tblInd w:w="280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67AC711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国别</w:t>
            </w:r>
          </w:p>
          <w:p w:rsidR="005D3D49" w14:paraId="2F33915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译书类别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685ACED4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英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7EBD8543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美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47AE4AE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日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47C91F5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其他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39F8182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总计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7DC37A30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百分比</w:t>
            </w:r>
          </w:p>
        </w:tc>
      </w:tr>
      <w:tr w14:paraId="64EA9213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66D9AF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哲学宗教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35DF492E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520733D0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795BA50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4BD7D28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31B4EAD9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37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4A2643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7.0</w:t>
            </w:r>
          </w:p>
        </w:tc>
      </w:tr>
      <w:tr w14:paraId="03C90108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15F2E0C9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文学艺术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21A6387E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0D1F97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125C0CD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7065804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11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0F7FA6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26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444E1D5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4.9</w:t>
            </w:r>
          </w:p>
        </w:tc>
      </w:tr>
      <w:tr w14:paraId="00326A53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51394E19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史地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1E75E5C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2BFCF52F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2256E983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90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7B490D7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20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3C96AE5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128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7BAB92F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24.0</w:t>
            </w:r>
          </w:p>
        </w:tc>
      </w:tr>
      <w:tr w14:paraId="24C59463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29259C0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社会科学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22DFF3B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13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49591A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79020CF5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5EB809E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37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55613A09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136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DFC57E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25.5</w:t>
            </w:r>
          </w:p>
        </w:tc>
      </w:tr>
      <w:tr w14:paraId="7D0A2ED2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4ADA4E6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自然科学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33FF180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5C4A282C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23F4197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6680EEBF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20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7B540866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112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61D32A49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21.0</w:t>
            </w:r>
          </w:p>
        </w:tc>
      </w:tr>
      <w:tr w14:paraId="38DC95BF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AB33B9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应用科学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190272F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E01366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5F913B53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24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619DCF8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26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7E2FF304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56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108AD365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10.5</w:t>
            </w:r>
          </w:p>
        </w:tc>
      </w:tr>
      <w:tr w14:paraId="206BE99D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16981E1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杂录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47A83EC6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1C7D07F3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3A6C84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24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305EEF5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4510AD61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38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2BD834BC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7.1</w:t>
            </w:r>
          </w:p>
        </w:tc>
      </w:tr>
      <w:tr w14:paraId="465DADBE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66EDF34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总计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519B541E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57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4EF6F4D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32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731CA6B0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321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2D339710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123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2F3714A9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533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6F2054AF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﹣</w:t>
            </w:r>
          </w:p>
        </w:tc>
      </w:tr>
      <w:tr w14:paraId="47B59AC4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7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12DF28B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百分比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1629D464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10.7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5DC5C6FC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6.0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76F966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60.2</w:t>
            </w:r>
          </w:p>
        </w:tc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5EE9B3A0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23.1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469CE28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﹣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BAB5A5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100.0</w:t>
            </w:r>
          </w:p>
        </w:tc>
      </w:tr>
    </w:tbl>
    <w:p w:rsidR="005D3D49" w:rsidP="005D3D49" w14:paraId="1CFF1EE8" w14:textId="77777777"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﹣﹣据左玉河《从四部之学到七科之学》</w:t>
      </w:r>
    </w:p>
    <w:p w:rsidR="005D3D49" w:rsidP="005D3D49" w14:paraId="02516B9F" w14:textId="77777777">
      <w:pPr>
        <w:spacing w:line="360" w:lineRule="auto"/>
        <w:ind w:left="273" w:leftChars="130"/>
      </w:pPr>
    </w:p>
    <w:p w:rsidR="005D3D49" w:rsidP="005D3D49" w14:paraId="089A753A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材料二</w:t>
      </w:r>
      <w:r>
        <w:rPr>
          <w:rFonts w:ascii="Times New Roman" w:eastAsia="新宋体" w:hAnsi="Times New Roman"/>
          <w:szCs w:val="21"/>
        </w:rPr>
        <w:t xml:space="preserve">  </w:t>
      </w:r>
      <w:r>
        <w:rPr>
          <w:rFonts w:ascii="Times New Roman" w:eastAsia="新宋体" w:hAnsi="Times New Roman" w:hint="eastAsia"/>
          <w:szCs w:val="21"/>
        </w:rPr>
        <w:t>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为京师大学堂专业设置简表。</w:t>
      </w:r>
    </w:p>
    <w:p w:rsidR="005D3D49" w:rsidP="005D3D49" w14:paraId="288FE9F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表</w:t>
      </w:r>
      <w:r>
        <w:rPr>
          <w:rFonts w:ascii="Times New Roman" w:eastAsia="新宋体" w:hAnsi="Times New Roman"/>
          <w:szCs w:val="21"/>
        </w:rPr>
        <w:t>2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666"/>
        <w:gridCol w:w="2666"/>
        <w:gridCol w:w="2666"/>
      </w:tblGrid>
      <w:tr w14:paraId="739F1E43" w14:textId="77777777">
        <w:tblPrEx>
          <w:tblW w:w="0" w:type="auto"/>
          <w:tblInd w:w="280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340FACE5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科目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5868A7A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专业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41F51E7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备注</w:t>
            </w:r>
          </w:p>
        </w:tc>
      </w:tr>
      <w:tr w14:paraId="4678F5DD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3A58D86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经学科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7D733FE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周易、论语、春秋、理学</w:t>
            </w:r>
            <w:r>
              <w:rPr>
                <w:rFonts w:ascii="Times New Roman" w:eastAsia="新宋体" w:hAnsi="Times New Roman" w:hint="eastAsia"/>
                <w:szCs w:val="21"/>
              </w:rPr>
              <w:t>等</w:t>
            </w:r>
          </w:p>
        </w:tc>
        <w:tc>
          <w:tcPr>
            <w:tcW w:w="26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4966B816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各科预科阶段均须开设的课程：</w:t>
            </w:r>
          </w:p>
          <w:p w:rsidR="005D3D49" w14:paraId="04B10EE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经学大义</w:t>
            </w:r>
          </w:p>
          <w:p w:rsidR="005D3D49" w14:paraId="17960891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人伦道德</w:t>
            </w:r>
          </w:p>
          <w:p w:rsidR="005D3D49" w14:paraId="71D3692E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中国文学</w:t>
            </w:r>
          </w:p>
          <w:p w:rsidR="005D3D49" w14:paraId="567706F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外国语</w:t>
            </w:r>
          </w:p>
          <w:p w:rsidR="005D3D49" w14:paraId="2F540CB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体操</w:t>
            </w:r>
          </w:p>
        </w:tc>
      </w:tr>
      <w:tr w14:paraId="33E9DA13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297D0544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政法科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3C3FBD59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政治、法律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3D49" w14:paraId="744FC949" w14:textId="77777777">
            <w:pPr>
              <w:widowControl/>
              <w:jc w:val="left"/>
            </w:pPr>
          </w:p>
        </w:tc>
      </w:tr>
      <w:tr w14:paraId="08958AFC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2D5FDBC0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文学科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517E2E3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中外史学、地理、文学等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3D49" w14:paraId="70BFC92C" w14:textId="77777777">
            <w:pPr>
              <w:widowControl/>
              <w:jc w:val="left"/>
            </w:pPr>
          </w:p>
        </w:tc>
      </w:tr>
      <w:tr w14:paraId="481143F6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6C018B8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商科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1252E42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银行及保险、关税等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3D49" w14:paraId="1106AC6B" w14:textId="77777777">
            <w:pPr>
              <w:widowControl/>
              <w:jc w:val="left"/>
            </w:pPr>
          </w:p>
        </w:tc>
      </w:tr>
      <w:tr w14:paraId="7711848D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59690BF5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格致科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2DFC9CCF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算学、化学、物理等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3D49" w14:paraId="4F186CC4" w14:textId="77777777">
            <w:pPr>
              <w:widowControl/>
              <w:jc w:val="left"/>
            </w:pPr>
          </w:p>
        </w:tc>
      </w:tr>
      <w:tr w14:paraId="54E3B8E5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7616FDE5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农科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6B1730F3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农学、林学等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3D49" w14:paraId="73BDD6BB" w14:textId="77777777">
            <w:pPr>
              <w:widowControl/>
              <w:jc w:val="left"/>
            </w:pPr>
          </w:p>
        </w:tc>
      </w:tr>
      <w:tr w14:paraId="111FA321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3F3917DC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工科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C5537A1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机器、造船、电气等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3D49" w14:paraId="3C43D3C3" w14:textId="77777777">
            <w:pPr>
              <w:widowControl/>
              <w:jc w:val="left"/>
            </w:pPr>
          </w:p>
        </w:tc>
      </w:tr>
      <w:tr w14:paraId="7092ADC2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05C1E0D0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医科</w:t>
            </w:r>
          </w:p>
        </w:tc>
        <w:tc>
          <w:tcPr>
            <w:tcW w:w="2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D3D49" w14:paraId="79DA4B66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医学、药学</w:t>
            </w: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3D49" w14:paraId="468B7EF7" w14:textId="77777777">
            <w:pPr>
              <w:widowControl/>
              <w:jc w:val="left"/>
            </w:pPr>
          </w:p>
        </w:tc>
      </w:tr>
    </w:tbl>
    <w:p w:rsidR="005D3D49" w:rsidP="005D3D49" w14:paraId="4620D81F" w14:textId="77777777"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﹣﹣据</w:t>
      </w:r>
      <w:r>
        <w:rPr>
          <w:rFonts w:ascii="Times New Roman" w:eastAsia="新宋体" w:hAnsi="Times New Roman"/>
          <w:szCs w:val="21"/>
        </w:rPr>
        <w:t>1904</w:t>
      </w:r>
      <w:r>
        <w:rPr>
          <w:rFonts w:ascii="Times New Roman" w:eastAsia="新宋体" w:hAnsi="Times New Roman" w:hint="eastAsia"/>
          <w:szCs w:val="21"/>
        </w:rPr>
        <w:t>年《奏定大学堂章程》</w:t>
      </w:r>
    </w:p>
    <w:p w:rsidR="005D3D49" w:rsidP="005D3D49" w14:paraId="751005C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）据表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，说明这一阶段译书活动的主要特点，并分析其形成原因。</w:t>
      </w:r>
    </w:p>
    <w:p w:rsidR="005D3D49" w:rsidP="005D3D49" w14:paraId="02BAD8C6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）据表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，说明京师大学堂的专业与课程设置如何体现了“中体西用”的办学思想。试从经济和政治两个方面，分析其对中国现代化的影响。</w:t>
      </w:r>
    </w:p>
    <w:p w:rsidR="005D3D49" w:rsidP="005D3D49" w14:paraId="551AD50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）基于以上分析，概括指出文化教育与社会发展的关系。</w:t>
      </w:r>
    </w:p>
    <w:p w:rsidR="005D3D49" w:rsidP="005D3D49" w14:paraId="016A8699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分）美国杜邦公司的历史是两个多世纪以来资本主义经济发展的缩影。阅读材料，回答问题。</w:t>
      </w:r>
    </w:p>
    <w:p w:rsidR="005D3D49" w:rsidP="005D3D49" w14:paraId="6EBA5008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片断一</w:t>
      </w:r>
      <w:r>
        <w:rPr>
          <w:rFonts w:ascii="Times New Roman" w:eastAsia="新宋体" w:hAnsi="Times New Roman"/>
          <w:szCs w:val="21"/>
        </w:rPr>
        <w:t xml:space="preserve">  </w:t>
      </w:r>
      <w:r>
        <w:rPr>
          <w:rFonts w:ascii="Times New Roman" w:eastAsia="新宋体" w:hAnsi="Times New Roman" w:hint="eastAsia"/>
          <w:szCs w:val="21"/>
        </w:rPr>
        <w:t>初创</w:t>
      </w:r>
    </w:p>
    <w:p w:rsidR="005D3D49" w:rsidP="005D3D49" w14:paraId="7C9D2270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>1802</w:t>
      </w:r>
      <w:r>
        <w:rPr>
          <w:rFonts w:ascii="Times New Roman" w:eastAsia="新宋体" w:hAnsi="Times New Roman" w:hint="eastAsia"/>
          <w:szCs w:val="21"/>
        </w:rPr>
        <w:t>年，从法国购进机器，在特拉华州的威尔明顿市郊创建了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火药厂，生产黑色火药。不久，法国订单便源源不断到来。</w:t>
      </w:r>
    </w:p>
    <w:p w:rsidR="005D3D49" w:rsidP="005D3D49" w14:paraId="333F1ED8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>1805</w:t>
      </w:r>
      <w:r>
        <w:rPr>
          <w:rFonts w:ascii="Times New Roman" w:eastAsia="新宋体" w:hAnsi="Times New Roman" w:hint="eastAsia"/>
          <w:szCs w:val="21"/>
        </w:rPr>
        <w:t>年，美国军方宣布，其所需火药将全部由杜邦火药厂生产。</w:t>
      </w:r>
    </w:p>
    <w:p w:rsidR="005D3D49" w:rsidP="005D3D49" w14:paraId="178F1D90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片断二</w:t>
      </w:r>
      <w:r>
        <w:rPr>
          <w:rFonts w:ascii="Times New Roman" w:eastAsia="新宋体" w:hAnsi="Times New Roman"/>
          <w:szCs w:val="21"/>
        </w:rPr>
        <w:t xml:space="preserve">  </w:t>
      </w:r>
      <w:r>
        <w:rPr>
          <w:rFonts w:ascii="Times New Roman" w:eastAsia="新宋体" w:hAnsi="Times New Roman" w:hint="eastAsia"/>
          <w:szCs w:val="21"/>
        </w:rPr>
        <w:t>发展</w:t>
      </w:r>
    </w:p>
    <w:p w:rsidR="005D3D49" w:rsidP="005D3D49" w14:paraId="686DCFAA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>1902</w:t>
      </w:r>
      <w:r>
        <w:rPr>
          <w:rFonts w:ascii="Times New Roman" w:eastAsia="新宋体" w:hAnsi="Times New Roman" w:hint="eastAsia"/>
          <w:szCs w:val="21"/>
        </w:rPr>
        <w:t>年，建立东部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实验室，它是美国最早的工业实验室之一。</w:t>
      </w:r>
    </w:p>
    <w:p w:rsidR="005D3D49" w:rsidP="005D3D49" w14:paraId="57C488FE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>1903</w:t>
      </w:r>
      <w:r>
        <w:rPr>
          <w:rFonts w:ascii="Times New Roman" w:eastAsia="新宋体" w:hAnsi="Times New Roman" w:hint="eastAsia"/>
          <w:szCs w:val="21"/>
        </w:rPr>
        <w:t>年，建立中央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实验站，并利用其在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化学方面的研究成果生产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清漆和其它非炸药类产品。</w:t>
      </w:r>
    </w:p>
    <w:p w:rsidR="005D3D49" w:rsidP="005D3D49" w14:paraId="29C8691E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片断三</w:t>
      </w:r>
      <w:r>
        <w:rPr>
          <w:rFonts w:ascii="Times New Roman" w:eastAsia="新宋体" w:hAnsi="Times New Roman"/>
          <w:szCs w:val="21"/>
        </w:rPr>
        <w:t xml:space="preserve">  </w:t>
      </w:r>
      <w:r>
        <w:rPr>
          <w:rFonts w:ascii="Times New Roman" w:eastAsia="新宋体" w:hAnsi="Times New Roman" w:hint="eastAsia"/>
          <w:szCs w:val="21"/>
        </w:rPr>
        <w:t>转型</w:t>
      </w:r>
    </w:p>
    <w:p w:rsidR="005D3D49" w:rsidP="005D3D49" w14:paraId="08756C82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>1920</w:t>
      </w:r>
      <w:r>
        <w:rPr>
          <w:rFonts w:ascii="Times New Roman" w:eastAsia="新宋体" w:hAnsi="Times New Roman" w:hint="eastAsia"/>
          <w:szCs w:val="21"/>
        </w:rPr>
        <w:t>年，关闭了威尔明顿市郊的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火药厂。</w:t>
      </w:r>
    </w:p>
    <w:p w:rsidR="005D3D49" w:rsidP="005D3D49" w14:paraId="1BD06B14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>1922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1925</w:t>
      </w:r>
      <w:r>
        <w:rPr>
          <w:rFonts w:ascii="Times New Roman" w:eastAsia="新宋体" w:hAnsi="Times New Roman" w:hint="eastAsia"/>
          <w:szCs w:val="21"/>
        </w:rPr>
        <w:t>年，研发出快干型耐磨亮漆，用于汽车生产；制造出成本低廉且耐用的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塑胶产品。</w:t>
      </w:r>
    </w:p>
    <w:p w:rsidR="005D3D49" w:rsidP="005D3D49" w14:paraId="25A8AC6B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>1929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1943</w:t>
      </w:r>
      <w:r>
        <w:rPr>
          <w:rFonts w:ascii="Times New Roman" w:eastAsia="新宋体" w:hAnsi="Times New Roman" w:hint="eastAsia"/>
          <w:szCs w:val="21"/>
        </w:rPr>
        <w:t>年，发明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尼龙；研制出可用于音像磁带、雨衣、不粘锅等产品的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新型涂料。</w:t>
      </w:r>
    </w:p>
    <w:p w:rsidR="005D3D49" w:rsidP="005D3D49" w14:paraId="52EB49A8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>1958</w:t>
      </w:r>
      <w:r>
        <w:rPr>
          <w:rFonts w:ascii="Times New Roman" w:eastAsia="新宋体" w:hAnsi="Times New Roman" w:hint="eastAsia"/>
          <w:szCs w:val="21"/>
        </w:rPr>
        <w:t>年，成立公司国际部。此后，海外投资持续增长。</w:t>
      </w:r>
    </w:p>
    <w:p w:rsidR="005D3D49" w:rsidP="005D3D49" w14:paraId="27758222" w14:textId="77777777"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﹣﹣据胡国成《美国现代化工之父﹣﹣杜邦》等</w:t>
      </w:r>
    </w:p>
    <w:p w:rsidR="005D3D49" w:rsidP="005D3D49" w14:paraId="620E0C7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）据片断一并结合所学知识，概括说明杜邦火药厂初创时期利用了哪些有利条件。</w:t>
      </w:r>
    </w:p>
    <w:p w:rsidR="005D3D49" w:rsidP="005D3D49" w14:paraId="50023C2D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）据片断二，指出杜邦公司的发展反映了第二次工业革命的哪些特点。</w:t>
      </w:r>
    </w:p>
    <w:p w:rsidR="005D3D49" w:rsidP="005D3D49" w14:paraId="00CB749A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）据片断三，概括指出杜邦公司自</w:t>
      </w:r>
      <w:r>
        <w:rPr>
          <w:rFonts w:ascii="Times New Roman" w:eastAsia="新宋体" w:hAnsi="Times New Roman"/>
          <w:szCs w:val="21"/>
        </w:rPr>
        <w:t>1920</w:t>
      </w:r>
      <w:r>
        <w:rPr>
          <w:rFonts w:ascii="Times New Roman" w:eastAsia="新宋体" w:hAnsi="Times New Roman" w:hint="eastAsia"/>
          <w:szCs w:val="21"/>
        </w:rPr>
        <w:t>年起进行了哪些战略调整，并说明其历史背景。</w:t>
      </w:r>
    </w:p>
    <w:p w:rsidR="005D3D49" w:rsidP="005D3D49" w14:paraId="1844DACA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分）历史﹣﹣历史上重大改革回眸</w:t>
      </w:r>
    </w:p>
    <w:p w:rsidR="005D3D49" w:rsidP="005D3D49" w14:paraId="248A3C9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宋人话本中很多故事涉及王安石变法。阅读材料，回答问题。</w:t>
      </w:r>
    </w:p>
    <w:p w:rsidR="005D3D49" w:rsidP="005D3D49" w14:paraId="66445871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</w:t>
      </w:r>
      <w:r>
        <w:rPr>
          <w:rFonts w:ascii="Times New Roman" w:eastAsia="新宋体" w:hAnsi="Times New Roman" w:hint="eastAsia"/>
          <w:szCs w:val="21"/>
        </w:rPr>
        <w:t>王安石微服赴江宁，遇一老妪喂鸡豕，唤“啰，啰，啰，王安石来！”鸡豕俱来就食。问其故，老妪曰：自王安石为相公，立新法扰民。妾孀居二十年，也要出免役、助役等钱，钱既出而差役如故。妾本以桑麻为业，……今桑麻失利，只得蓄猪养鸡，等候吏胥里保来征役钱，或准与他，或烹来款待他，自家不曾尝一块肉。故此民间怨恨新法，入于骨髓。</w:t>
      </w:r>
    </w:p>
    <w:p w:rsidR="005D3D49" w:rsidP="005D3D49" w14:paraId="6701E3D7" w14:textId="77777777"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﹣﹣据《京本通俗小说•拗相公》</w:t>
      </w:r>
    </w:p>
    <w:p w:rsidR="005D3D49" w:rsidP="005D3D49" w14:paraId="4E8EB022" w14:textId="77777777">
      <w:pPr>
        <w:spacing w:line="360" w:lineRule="auto"/>
        <w:ind w:left="273" w:leftChars="130"/>
      </w:pPr>
    </w:p>
    <w:p w:rsidR="005D3D49" w:rsidP="005D3D49" w14:paraId="5307D9F3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）据材料，概括说明王安石变法过程中出现了哪些问题。</w:t>
      </w:r>
    </w:p>
    <w:p w:rsidR="005D3D49" w:rsidP="005D3D49" w14:paraId="6F4111B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）研究王安石变法时，你如何看待宋人话本的史料价值。</w:t>
      </w:r>
    </w:p>
    <w:p w:rsidR="005D3D49" w:rsidP="005D3D49" w14:paraId="2E50D260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分）历史﹣﹣近代社会的民主思想与实践</w:t>
      </w:r>
    </w:p>
    <w:p w:rsidR="005D3D49" w:rsidP="005D3D49" w14:paraId="6DA37853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辛亥革命爆发后，山东巡抚孙宝琦曾致电清内阁，阐述对时局的看法。阅读材料，回答问题。</w:t>
      </w:r>
    </w:p>
    <w:p w:rsidR="005D3D49" w:rsidP="005D3D49" w14:paraId="334C04F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顷者，宪法信条，业经颁布，君权削尽，仅存皇位，而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各省不知信从，反多独立。……重以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土匪峰起，列强环伺，瓦解瓜分，危在旦夕。……今日各省民情，如决江河。然察其所为，决非种族相仇，实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渴望共和政体。……依臣愚见，莫如毅然改计，俯顺舆情，实行公天下，宣布共和。</w:t>
      </w:r>
    </w:p>
    <w:p w:rsidR="005D3D49" w:rsidP="005D3D49" w14:paraId="066802B4" w14:textId="77777777"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﹣﹣孙宝琦致内阁电（</w:t>
      </w:r>
      <w:r>
        <w:rPr>
          <w:rFonts w:ascii="Times New Roman" w:eastAsia="新宋体" w:hAnsi="Times New Roman"/>
          <w:szCs w:val="21"/>
        </w:rPr>
        <w:t>1911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日）</w:t>
      </w:r>
    </w:p>
    <w:p w:rsidR="005D3D49" w:rsidP="005D3D49" w14:paraId="5F3C6DF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）概括指出孙宝琦的电文反映了哪些史实。</w:t>
      </w:r>
    </w:p>
    <w:p w:rsidR="005D3D49" w:rsidP="005D3D49" w14:paraId="2C54380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）结合史实，说明清政府是如何应对“各省民情”的。</w:t>
      </w:r>
    </w:p>
    <w:p w:rsidR="005D3D49" w:rsidP="005D3D49" w14:paraId="35F682CB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分）历史﹣﹣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世纪的战争与和平</w:t>
      </w:r>
    </w:p>
    <w:p w:rsidR="005D3D49" w:rsidP="005D3D49" w14:paraId="4D047133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 xml:space="preserve">   1938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月，国民政府军事委员会参事室对中国抗战将面临的国际形势做过预测。阅读材料，回答问题。</w:t>
      </w:r>
    </w:p>
    <w:p w:rsidR="005D3D49" w:rsidP="005D3D49" w14:paraId="3E7787FF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苏俄不会单独出兵；</w:t>
      </w:r>
    </w:p>
    <w:p w:rsidR="005D3D49" w:rsidP="005D3D49" w14:paraId="0AA90CA5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英国将在远东进行妥协外交；</w:t>
      </w:r>
    </w:p>
    <w:p w:rsidR="005D3D49" w:rsidP="005D3D49" w14:paraId="1256C29A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美国不会单独干涉远东问题；</w:t>
      </w:r>
    </w:p>
    <w:p w:rsidR="005D3D49" w:rsidP="005D3D49" w14:paraId="25744B50" w14:textId="77777777">
      <w:pPr>
        <w:spacing w:line="360" w:lineRule="auto"/>
        <w:ind w:left="273" w:leftChars="130"/>
      </w:pP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国联无力干涉。</w:t>
      </w:r>
    </w:p>
    <w:p w:rsidR="005D3D49" w:rsidP="005D3D49" w14:paraId="797A0CD5" w14:textId="77777777">
      <w:pPr>
        <w:spacing w:line="360" w:lineRule="auto"/>
        <w:ind w:left="273" w:leftChars="130"/>
        <w:jc w:val="right"/>
      </w:pPr>
      <w:r>
        <w:rPr>
          <w:rFonts w:ascii="Times New Roman" w:eastAsia="新宋体" w:hAnsi="Times New Roman" w:hint="eastAsia"/>
          <w:szCs w:val="21"/>
        </w:rPr>
        <w:t>﹣﹣据鹿锡俊《国民政府对欧战及结盟问题的应对》</w:t>
      </w:r>
    </w:p>
    <w:p w:rsidR="005D3D49" w:rsidP="005D3D49" w14:paraId="5A4B403D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）试分别说明国民政府军事委员会参事室做出上述预测的依据。</w:t>
      </w:r>
    </w:p>
    <w:p w:rsidR="005D3D49" w:rsidP="005D3D49" w14:paraId="13EC3D8D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）概括指出当时苏、英、美三国的政策对远东局势产生了怎样的影响。</w:t>
      </w:r>
    </w:p>
    <w:p w:rsidR="00464715" w:rsidP="005D3D49" w14:paraId="252890C3" w14:textId="69021872">
      <w:r>
        <w:br w:type="page"/>
      </w:r>
    </w:p>
    <w:sectPr>
      <w:footerReference w:type="default" r:id="rId5"/>
      <w:pgSz w:w="11906" w:h="16838"/>
      <w:pgMar w:top="1440" w:right="1800" w:bottom="1440" w:left="1800" w:header="851" w:footer="992" w:gutter="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15"/>
    <w:rsid w:val="00464715"/>
    <w:rsid w:val="005D3D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88CBDEA-C1F0-4132-8437-C4C34624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3D4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